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3F4F" w14:textId="66BDB759" w:rsidR="00244349" w:rsidRPr="006D409C" w:rsidRDefault="00244349" w:rsidP="00244349">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DA093E" w:rsidRPr="00DA093E">
        <w:rPr>
          <w:rFonts w:cs="Arial"/>
          <w:sz w:val="24"/>
          <w:szCs w:val="24"/>
        </w:rPr>
        <w:t>R4-2400484</w:t>
      </w:r>
    </w:p>
    <w:p w14:paraId="4DDF88E6" w14:textId="77777777" w:rsidR="00244349" w:rsidRDefault="00244349" w:rsidP="00244349">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C578FF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244349">
        <w:rPr>
          <w:rFonts w:ascii="Arial" w:hAnsi="Arial" w:cs="Arial"/>
          <w:b/>
          <w:sz w:val="22"/>
          <w:szCs w:val="22"/>
        </w:rPr>
        <w:t>8.18.6.1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8F538F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03B82" w:rsidRPr="00C03B82">
        <w:rPr>
          <w:rFonts w:ascii="Arial" w:hAnsi="Arial" w:cs="Arial"/>
          <w:b/>
          <w:sz w:val="22"/>
          <w:szCs w:val="22"/>
        </w:rPr>
        <w:t>On NR-NTN RRM requirements in above 10 GHz bands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56FC3E9C" w:rsidR="00A74337" w:rsidRDefault="001F65D9" w:rsidP="00B324AA">
      <w:pPr>
        <w:spacing w:after="120"/>
        <w:jc w:val="both"/>
      </w:pPr>
      <w:r>
        <w:rPr>
          <w:rFonts w:hint="eastAsia"/>
        </w:rPr>
        <w:t>In</w:t>
      </w:r>
      <w:r>
        <w:t xml:space="preserve"> RAN4#</w:t>
      </w:r>
      <w:r w:rsidR="00953972">
        <w:t>10</w:t>
      </w:r>
      <w:r w:rsidR="00244349">
        <w:t>9</w:t>
      </w:r>
      <w:r>
        <w:t xml:space="preserve"> meeting, the </w:t>
      </w:r>
      <w:r w:rsidR="002D6DED" w:rsidRPr="002D6DED">
        <w:t>NR-NTN RRM requirements in above 10 GHz bands</w:t>
      </w:r>
      <w:r>
        <w:t xml:space="preserve"> have been discussed and WF was agreed in [1].</w:t>
      </w:r>
      <w:r w:rsidR="00B324AA">
        <w:t xml:space="preserve"> </w:t>
      </w:r>
      <w:r w:rsidR="007428D7">
        <w:t xml:space="preserve">However, there are still many open issues to address for RRM requirement design. </w:t>
      </w:r>
      <w:r w:rsidR="0012561B">
        <w:t xml:space="preserve">In this </w:t>
      </w:r>
      <w:r w:rsidR="00E106A8">
        <w:t>contribution,</w:t>
      </w:r>
      <w:r w:rsidR="0012561B">
        <w:t xml:space="preserve"> we </w:t>
      </w:r>
      <w:r w:rsidR="00E106A8">
        <w:t>further</w:t>
      </w:r>
      <w:r w:rsidR="001C6634">
        <w:t xml:space="preserve"> </w:t>
      </w:r>
      <w:r w:rsidR="00E106A8">
        <w:t>discuss</w:t>
      </w:r>
      <w:r w:rsidR="001C6634">
        <w:t xml:space="preserve"> </w:t>
      </w:r>
      <w:r w:rsidR="00E106A8">
        <w:t xml:space="preserve">the </w:t>
      </w:r>
      <w:r w:rsidR="002D6DED" w:rsidRPr="002D6DED">
        <w:t>NR-NTN RRM requirements in above 10 GHz bands</w:t>
      </w:r>
      <w:r w:rsidR="0012561B">
        <w:t>.</w:t>
      </w:r>
    </w:p>
    <w:p w14:paraId="07EC5BC3" w14:textId="606DC17E" w:rsidR="0087692F" w:rsidRPr="0087692F" w:rsidRDefault="00B324AA" w:rsidP="0087692F">
      <w:pPr>
        <w:pStyle w:val="Heading1"/>
        <w:numPr>
          <w:ilvl w:val="0"/>
          <w:numId w:val="10"/>
        </w:numPr>
        <w:pBdr>
          <w:top w:val="single" w:sz="12" w:space="2" w:color="auto"/>
        </w:pBdr>
        <w:jc w:val="both"/>
        <w:rPr>
          <w:sz w:val="32"/>
          <w:lang w:val="en-US"/>
        </w:rPr>
      </w:pPr>
      <w:r>
        <w:rPr>
          <w:sz w:val="32"/>
          <w:lang w:val="en-US"/>
        </w:rPr>
        <w:t>UE UL timing requirement</w:t>
      </w:r>
    </w:p>
    <w:p w14:paraId="0505B872" w14:textId="490D82D9" w:rsidR="00AC00CE" w:rsidRDefault="00AC00CE" w:rsidP="00AC00CE">
      <w:pPr>
        <w:rPr>
          <w:bCs/>
          <w:color w:val="000000" w:themeColor="text1"/>
          <w:lang w:eastAsia="ko-KR"/>
        </w:rPr>
      </w:pPr>
      <w:r w:rsidRPr="00FC6897">
        <w:rPr>
          <w:bCs/>
          <w:color w:val="000000" w:themeColor="text1"/>
          <w:lang w:eastAsia="ko-KR"/>
        </w:rPr>
        <w:t xml:space="preserve">The </w:t>
      </w:r>
      <w:r w:rsidR="004A4A05">
        <w:rPr>
          <w:bCs/>
          <w:color w:val="000000" w:themeColor="text1"/>
          <w:lang w:eastAsia="ko-KR"/>
        </w:rPr>
        <w:t xml:space="preserve">previous </w:t>
      </w:r>
      <w:r w:rsidRPr="00FC6897">
        <w:rPr>
          <w:bCs/>
          <w:color w:val="000000" w:themeColor="text1"/>
          <w:lang w:eastAsia="ko-KR"/>
        </w:rPr>
        <w:t xml:space="preserve">agreement and </w:t>
      </w:r>
      <w:r>
        <w:rPr>
          <w:bCs/>
          <w:color w:val="000000" w:themeColor="text1"/>
          <w:lang w:eastAsia="ko-KR"/>
        </w:rPr>
        <w:t xml:space="preserve">open issue for </w:t>
      </w:r>
      <w:r w:rsidR="00B324AA">
        <w:rPr>
          <w:bCs/>
          <w:color w:val="000000" w:themeColor="text1"/>
          <w:lang w:eastAsia="ko-KR"/>
        </w:rPr>
        <w:t>UE UL</w:t>
      </w:r>
      <w:r>
        <w:rPr>
          <w:bCs/>
          <w:color w:val="000000" w:themeColor="text1"/>
          <w:lang w:eastAsia="ko-KR"/>
        </w:rPr>
        <w:t xml:space="preserve"> </w:t>
      </w:r>
      <w:r w:rsidR="00B324AA">
        <w:rPr>
          <w:bCs/>
          <w:color w:val="000000" w:themeColor="text1"/>
          <w:lang w:eastAsia="ko-KR"/>
        </w:rPr>
        <w:t xml:space="preserve">timing requirement </w:t>
      </w:r>
      <w:r>
        <w:rPr>
          <w:bCs/>
          <w:color w:val="000000" w:themeColor="text1"/>
          <w:lang w:eastAsia="ko-KR"/>
        </w:rPr>
        <w:t xml:space="preserve">over 10GHz </w:t>
      </w:r>
      <w:r w:rsidR="00B324AA">
        <w:rPr>
          <w:bCs/>
          <w:color w:val="000000" w:themeColor="text1"/>
          <w:lang w:eastAsia="ko-KR"/>
        </w:rPr>
        <w:t>is</w:t>
      </w:r>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AC00CE" w14:paraId="2A79698A" w14:textId="77777777" w:rsidTr="00AC00CE">
        <w:tc>
          <w:tcPr>
            <w:tcW w:w="9629" w:type="dxa"/>
          </w:tcPr>
          <w:p w14:paraId="19E8124E" w14:textId="77777777" w:rsidR="007428D7" w:rsidRPr="007428D7" w:rsidRDefault="007428D7" w:rsidP="007428D7">
            <w:pPr>
              <w:spacing w:after="0"/>
              <w:outlineLvl w:val="2"/>
              <w:rPr>
                <w:b/>
                <w:sz w:val="20"/>
                <w:szCs w:val="20"/>
                <w:u w:val="single"/>
                <w:lang w:eastAsia="ko-KR"/>
              </w:rPr>
            </w:pPr>
            <w:r w:rsidRPr="007428D7">
              <w:rPr>
                <w:b/>
                <w:sz w:val="20"/>
                <w:szCs w:val="20"/>
                <w:u w:val="single"/>
                <w:lang w:eastAsia="ko-KR"/>
              </w:rPr>
              <w:t xml:space="preserve">Issue 1-3: </w:t>
            </w:r>
            <w:r w:rsidRPr="007428D7">
              <w:rPr>
                <w:b/>
                <w:sz w:val="20"/>
                <w:szCs w:val="20"/>
                <w:u w:val="single"/>
              </w:rPr>
              <w:t xml:space="preserve">Further relaxation of </w:t>
            </w:r>
            <w:proofErr w:type="spellStart"/>
            <w:r w:rsidRPr="007428D7">
              <w:rPr>
                <w:b/>
                <w:sz w:val="20"/>
                <w:szCs w:val="20"/>
                <w:u w:val="single"/>
              </w:rPr>
              <w:t>Te_NTN</w:t>
            </w:r>
            <w:proofErr w:type="spellEnd"/>
            <w:r w:rsidRPr="007428D7">
              <w:rPr>
                <w:b/>
                <w:sz w:val="20"/>
                <w:szCs w:val="20"/>
                <w:u w:val="single"/>
              </w:rPr>
              <w:t xml:space="preserve"> for PRACH</w:t>
            </w:r>
          </w:p>
          <w:p w14:paraId="771304A9" w14:textId="77777777" w:rsidR="007428D7" w:rsidRPr="007428D7" w:rsidRDefault="007428D7" w:rsidP="007428D7">
            <w:pPr>
              <w:spacing w:after="0"/>
              <w:ind w:firstLine="284"/>
              <w:rPr>
                <w:b/>
                <w:bCs/>
                <w:sz w:val="20"/>
                <w:szCs w:val="20"/>
                <w:u w:val="single"/>
                <w:lang w:eastAsia="ja-JP"/>
              </w:rPr>
            </w:pPr>
            <w:r w:rsidRPr="007428D7">
              <w:rPr>
                <w:b/>
                <w:bCs/>
                <w:sz w:val="20"/>
                <w:szCs w:val="20"/>
                <w:u w:val="single"/>
                <w:lang w:eastAsia="ja-JP"/>
              </w:rPr>
              <w:t>No agreement</w:t>
            </w:r>
          </w:p>
          <w:p w14:paraId="2FA6CECB" w14:textId="77777777" w:rsidR="007428D7" w:rsidRPr="007428D7" w:rsidRDefault="007428D7" w:rsidP="007428D7">
            <w:pPr>
              <w:rPr>
                <w:sz w:val="20"/>
                <w:szCs w:val="20"/>
                <w:lang w:eastAsia="ja-JP"/>
              </w:rPr>
            </w:pPr>
          </w:p>
          <w:p w14:paraId="2D57FDEA" w14:textId="77777777" w:rsidR="007428D7" w:rsidRPr="007428D7" w:rsidRDefault="007428D7" w:rsidP="007428D7">
            <w:pPr>
              <w:spacing w:after="0"/>
              <w:outlineLvl w:val="2"/>
              <w:rPr>
                <w:b/>
                <w:sz w:val="20"/>
                <w:szCs w:val="20"/>
                <w:u w:val="single"/>
                <w:lang w:eastAsia="ko-KR"/>
              </w:rPr>
            </w:pPr>
            <w:r w:rsidRPr="007428D7">
              <w:rPr>
                <w:b/>
                <w:sz w:val="20"/>
                <w:szCs w:val="20"/>
                <w:u w:val="single"/>
                <w:lang w:eastAsia="ko-KR"/>
              </w:rPr>
              <w:t xml:space="preserve">Issue 1-6: </w:t>
            </w:r>
            <w:proofErr w:type="spellStart"/>
            <w:r w:rsidRPr="007428D7">
              <w:rPr>
                <w:b/>
                <w:sz w:val="20"/>
                <w:szCs w:val="20"/>
                <w:u w:val="single"/>
                <w:lang w:eastAsia="ko-KR"/>
              </w:rPr>
              <w:t>Te_NTN</w:t>
            </w:r>
            <w:proofErr w:type="spellEnd"/>
            <w:r w:rsidRPr="007428D7">
              <w:rPr>
                <w:b/>
                <w:sz w:val="20"/>
                <w:szCs w:val="20"/>
                <w:u w:val="single"/>
                <w:lang w:eastAsia="ko-KR"/>
              </w:rPr>
              <w:t xml:space="preserve"> for 60kHz and </w:t>
            </w:r>
            <w:proofErr w:type="gramStart"/>
            <w:r w:rsidRPr="007428D7">
              <w:rPr>
                <w:b/>
                <w:sz w:val="20"/>
                <w:szCs w:val="20"/>
                <w:u w:val="single"/>
                <w:lang w:eastAsia="ko-KR"/>
              </w:rPr>
              <w:t>120kHz</w:t>
            </w:r>
            <w:proofErr w:type="gramEnd"/>
          </w:p>
          <w:p w14:paraId="23B4CE61" w14:textId="77777777" w:rsidR="007428D7" w:rsidRPr="007428D7" w:rsidRDefault="007428D7" w:rsidP="007428D7">
            <w:pPr>
              <w:spacing w:after="0"/>
              <w:ind w:firstLine="284"/>
              <w:rPr>
                <w:b/>
                <w:bCs/>
                <w:sz w:val="20"/>
                <w:szCs w:val="20"/>
                <w:highlight w:val="green"/>
                <w:u w:val="single"/>
                <w:lang w:eastAsia="ja-JP"/>
              </w:rPr>
            </w:pPr>
            <w:bookmarkStart w:id="3" w:name="_Hlk151008787"/>
            <w:r w:rsidRPr="007428D7">
              <w:rPr>
                <w:b/>
                <w:bCs/>
                <w:sz w:val="20"/>
                <w:szCs w:val="20"/>
                <w:highlight w:val="green"/>
                <w:u w:val="single"/>
                <w:lang w:eastAsia="ja-JP"/>
              </w:rPr>
              <w:t>Agreement:</w:t>
            </w:r>
          </w:p>
          <w:bookmarkEnd w:id="3"/>
          <w:p w14:paraId="6A5E26F1" w14:textId="77777777" w:rsidR="007428D7" w:rsidRPr="007428D7" w:rsidRDefault="007428D7" w:rsidP="007428D7">
            <w:pPr>
              <w:pStyle w:val="ListParagraph"/>
              <w:widowControl/>
              <w:numPr>
                <w:ilvl w:val="0"/>
                <w:numId w:val="45"/>
              </w:numPr>
              <w:spacing w:before="0" w:beforeAutospacing="0" w:after="0" w:line="240" w:lineRule="auto"/>
              <w:ind w:firstLineChars="0"/>
              <w:rPr>
                <w:iCs/>
                <w:sz w:val="20"/>
                <w:szCs w:val="20"/>
                <w:lang w:eastAsia="zh-CN"/>
              </w:rPr>
            </w:pPr>
            <w:r w:rsidRPr="007428D7">
              <w:rPr>
                <w:iCs/>
                <w:sz w:val="20"/>
                <w:szCs w:val="20"/>
                <w:lang w:eastAsia="zh-CN"/>
              </w:rPr>
              <w:t>UL 60kHz SCS:</w:t>
            </w:r>
          </w:p>
          <w:p w14:paraId="3908E53C" w14:textId="77777777" w:rsidR="007428D7" w:rsidRPr="007428D7" w:rsidRDefault="007428D7" w:rsidP="007428D7">
            <w:pPr>
              <w:pStyle w:val="ListParagraph"/>
              <w:widowControl/>
              <w:numPr>
                <w:ilvl w:val="1"/>
                <w:numId w:val="45"/>
              </w:numPr>
              <w:spacing w:before="0" w:beforeAutospacing="0" w:after="0" w:line="240" w:lineRule="auto"/>
              <w:ind w:firstLineChars="0"/>
              <w:rPr>
                <w:iCs/>
                <w:sz w:val="20"/>
                <w:szCs w:val="20"/>
                <w:lang w:eastAsia="zh-CN"/>
              </w:rPr>
            </w:pPr>
            <w:r w:rsidRPr="007428D7">
              <w:rPr>
                <w:iCs/>
                <w:sz w:val="20"/>
                <w:szCs w:val="20"/>
                <w:lang w:eastAsia="zh-CN"/>
              </w:rPr>
              <w:t>13 Ts for all cases with 120kHz/240kHz SSB</w:t>
            </w:r>
          </w:p>
          <w:p w14:paraId="254F080A" w14:textId="77777777" w:rsidR="007428D7" w:rsidRPr="007428D7" w:rsidRDefault="007428D7" w:rsidP="007428D7">
            <w:pPr>
              <w:pStyle w:val="ListParagraph"/>
              <w:widowControl/>
              <w:numPr>
                <w:ilvl w:val="0"/>
                <w:numId w:val="45"/>
              </w:numPr>
              <w:spacing w:before="0" w:beforeAutospacing="0" w:after="0" w:line="240" w:lineRule="auto"/>
              <w:ind w:firstLineChars="0"/>
              <w:rPr>
                <w:iCs/>
                <w:sz w:val="20"/>
                <w:szCs w:val="20"/>
                <w:lang w:eastAsia="zh-CN"/>
              </w:rPr>
            </w:pPr>
            <w:r w:rsidRPr="007428D7">
              <w:rPr>
                <w:iCs/>
                <w:sz w:val="20"/>
                <w:szCs w:val="20"/>
                <w:lang w:eastAsia="zh-CN"/>
              </w:rPr>
              <w:t>UL 120kHz SCS:</w:t>
            </w:r>
          </w:p>
          <w:p w14:paraId="63F427EB" w14:textId="77777777" w:rsidR="007428D7" w:rsidRPr="007428D7" w:rsidRDefault="007428D7" w:rsidP="007428D7">
            <w:pPr>
              <w:pStyle w:val="ListParagraph"/>
              <w:widowControl/>
              <w:numPr>
                <w:ilvl w:val="1"/>
                <w:numId w:val="45"/>
              </w:numPr>
              <w:spacing w:before="0" w:beforeAutospacing="0" w:after="0" w:line="240" w:lineRule="auto"/>
              <w:ind w:firstLineChars="0"/>
              <w:rPr>
                <w:iCs/>
                <w:sz w:val="20"/>
                <w:szCs w:val="20"/>
                <w:lang w:eastAsia="zh-CN"/>
              </w:rPr>
            </w:pPr>
            <w:r w:rsidRPr="007428D7">
              <w:rPr>
                <w:iCs/>
                <w:sz w:val="20"/>
                <w:szCs w:val="20"/>
                <w:lang w:eastAsia="zh-CN"/>
              </w:rPr>
              <w:t>Case 1 and case 2: 7.5 Ts</w:t>
            </w:r>
          </w:p>
          <w:p w14:paraId="28AC5CBB" w14:textId="77777777" w:rsidR="007428D7" w:rsidRPr="007428D7" w:rsidRDefault="007428D7" w:rsidP="007428D7">
            <w:pPr>
              <w:pStyle w:val="ListParagraph"/>
              <w:widowControl/>
              <w:numPr>
                <w:ilvl w:val="2"/>
                <w:numId w:val="45"/>
              </w:numPr>
              <w:spacing w:before="0" w:beforeAutospacing="0" w:after="0" w:line="240" w:lineRule="auto"/>
              <w:ind w:firstLineChars="0"/>
              <w:rPr>
                <w:iCs/>
                <w:sz w:val="20"/>
                <w:szCs w:val="20"/>
                <w:lang w:eastAsia="zh-CN"/>
              </w:rPr>
            </w:pPr>
            <w:r w:rsidRPr="007428D7">
              <w:rPr>
                <w:iCs/>
                <w:sz w:val="20"/>
                <w:szCs w:val="20"/>
                <w:lang w:eastAsia="zh-CN"/>
              </w:rPr>
              <w:t>FFS for the applicable side condition on case 2</w:t>
            </w:r>
          </w:p>
          <w:p w14:paraId="6880A651" w14:textId="4CDBD4B6" w:rsidR="00AC00CE" w:rsidRPr="007428D7" w:rsidRDefault="007428D7" w:rsidP="007428D7">
            <w:pPr>
              <w:pStyle w:val="ListParagraph"/>
              <w:widowControl/>
              <w:numPr>
                <w:ilvl w:val="1"/>
                <w:numId w:val="45"/>
              </w:numPr>
              <w:spacing w:before="0" w:beforeAutospacing="0" w:after="0" w:line="240" w:lineRule="auto"/>
              <w:ind w:firstLineChars="0"/>
              <w:rPr>
                <w:iCs/>
                <w:lang w:eastAsia="zh-CN"/>
              </w:rPr>
            </w:pPr>
            <w:r w:rsidRPr="007428D7">
              <w:rPr>
                <w:iCs/>
                <w:sz w:val="20"/>
                <w:szCs w:val="20"/>
                <w:lang w:eastAsia="zh-CN"/>
              </w:rPr>
              <w:t>Case 3: Higher than 7.5 Ts, FFS for the exact value</w:t>
            </w:r>
            <w:r w:rsidRPr="009F5560">
              <w:rPr>
                <w:iCs/>
                <w:lang w:eastAsia="zh-CN"/>
              </w:rPr>
              <w:t xml:space="preserve"> </w:t>
            </w:r>
          </w:p>
        </w:tc>
      </w:tr>
    </w:tbl>
    <w:p w14:paraId="6D4367EE" w14:textId="68EDBC64" w:rsidR="004A4A05" w:rsidRDefault="004A4A05" w:rsidP="004A4A05">
      <w:pPr>
        <w:rPr>
          <w:bCs/>
          <w:color w:val="000000" w:themeColor="text1"/>
          <w:lang w:eastAsia="ko-KR"/>
        </w:rPr>
      </w:pPr>
      <w:r w:rsidRPr="00FC6897">
        <w:rPr>
          <w:bCs/>
          <w:color w:val="000000" w:themeColor="text1"/>
          <w:lang w:eastAsia="ko-KR"/>
        </w:rPr>
        <w:t>The</w:t>
      </w:r>
      <w:r>
        <w:rPr>
          <w:bCs/>
          <w:color w:val="000000" w:themeColor="text1"/>
          <w:lang w:eastAsia="ko-KR"/>
        </w:rPr>
        <w:t>re are three cases to be considered in RRM requirement design:</w:t>
      </w:r>
    </w:p>
    <w:p w14:paraId="4DF7051B" w14:textId="77777777" w:rsidR="004A4A05" w:rsidRPr="004A4A05" w:rsidRDefault="004A4A05" w:rsidP="004A4A05">
      <w:pPr>
        <w:pStyle w:val="ListParagraph"/>
        <w:widowControl/>
        <w:numPr>
          <w:ilvl w:val="1"/>
          <w:numId w:val="45"/>
        </w:numPr>
        <w:spacing w:before="0" w:beforeAutospacing="0" w:after="0" w:line="240" w:lineRule="auto"/>
        <w:ind w:left="1080" w:firstLineChars="0"/>
        <w:rPr>
          <w:sz w:val="24"/>
          <w:szCs w:val="24"/>
          <w:lang w:eastAsia="ja-JP"/>
        </w:rPr>
      </w:pPr>
      <w:r w:rsidRPr="004A4A05">
        <w:rPr>
          <w:sz w:val="24"/>
          <w:szCs w:val="24"/>
          <w:lang w:eastAsia="ja-JP"/>
        </w:rPr>
        <w:t>RRM requirements shall cover at least the following scenarios</w:t>
      </w:r>
    </w:p>
    <w:p w14:paraId="188BA903" w14:textId="77777777" w:rsidR="004A4A05" w:rsidRPr="004A4A05" w:rsidRDefault="004A4A05" w:rsidP="004A4A05">
      <w:pPr>
        <w:pStyle w:val="ListParagraph"/>
        <w:widowControl/>
        <w:numPr>
          <w:ilvl w:val="2"/>
          <w:numId w:val="45"/>
        </w:numPr>
        <w:spacing w:before="0" w:beforeAutospacing="0" w:after="0" w:line="240" w:lineRule="auto"/>
        <w:ind w:left="1800" w:firstLineChars="0"/>
        <w:rPr>
          <w:sz w:val="24"/>
          <w:szCs w:val="24"/>
          <w:lang w:eastAsia="ja-JP"/>
        </w:rPr>
      </w:pPr>
      <w:r w:rsidRPr="004A4A05">
        <w:rPr>
          <w:sz w:val="24"/>
          <w:szCs w:val="24"/>
          <w:lang w:eastAsia="ja-JP"/>
        </w:rPr>
        <w:t>Case-1: Stationary UE for GSO</w:t>
      </w:r>
    </w:p>
    <w:p w14:paraId="40DFA784" w14:textId="77777777" w:rsidR="004A4A05" w:rsidRPr="004A4A05" w:rsidRDefault="004A4A05" w:rsidP="004A4A05">
      <w:pPr>
        <w:pStyle w:val="ListParagraph"/>
        <w:widowControl/>
        <w:numPr>
          <w:ilvl w:val="2"/>
          <w:numId w:val="45"/>
        </w:numPr>
        <w:spacing w:before="0" w:beforeAutospacing="0" w:after="0" w:line="240" w:lineRule="auto"/>
        <w:ind w:left="1800" w:firstLineChars="0"/>
        <w:rPr>
          <w:sz w:val="24"/>
          <w:szCs w:val="24"/>
          <w:lang w:eastAsia="ja-JP"/>
        </w:rPr>
      </w:pPr>
      <w:r w:rsidRPr="004A4A05">
        <w:rPr>
          <w:sz w:val="24"/>
          <w:szCs w:val="24"/>
          <w:lang w:eastAsia="ja-JP"/>
        </w:rPr>
        <w:t>Case-2: Stationary UE for LEO</w:t>
      </w:r>
    </w:p>
    <w:p w14:paraId="0F9F4C6B" w14:textId="64718F68" w:rsidR="004A4A05" w:rsidRPr="004A4A05" w:rsidRDefault="004A4A05" w:rsidP="004A4A05">
      <w:pPr>
        <w:pStyle w:val="ListParagraph"/>
        <w:widowControl/>
        <w:numPr>
          <w:ilvl w:val="2"/>
          <w:numId w:val="45"/>
        </w:numPr>
        <w:spacing w:before="0" w:beforeAutospacing="0" w:after="0" w:line="240" w:lineRule="auto"/>
        <w:ind w:left="1800" w:firstLineChars="0"/>
        <w:rPr>
          <w:sz w:val="24"/>
          <w:szCs w:val="24"/>
          <w:lang w:eastAsia="ja-JP"/>
        </w:rPr>
      </w:pPr>
      <w:r w:rsidRPr="004A4A05">
        <w:rPr>
          <w:sz w:val="24"/>
          <w:szCs w:val="24"/>
          <w:lang w:eastAsia="ja-JP"/>
        </w:rPr>
        <w:t>Case-3: Mobile UE for GSO</w:t>
      </w:r>
    </w:p>
    <w:p w14:paraId="624C9C75" w14:textId="77777777" w:rsidR="009D732B" w:rsidRDefault="009D732B" w:rsidP="00226190">
      <w:pPr>
        <w:jc w:val="both"/>
        <w:rPr>
          <w:lang w:val="en-GB" w:eastAsia="x-none"/>
        </w:rPr>
      </w:pPr>
    </w:p>
    <w:p w14:paraId="418C235D" w14:textId="6B060DCF" w:rsidR="00AC00CE" w:rsidRDefault="00226190" w:rsidP="00226190">
      <w:pPr>
        <w:jc w:val="both"/>
        <w:rPr>
          <w:lang w:val="en-GB" w:eastAsia="x-none"/>
        </w:rPr>
      </w:pPr>
      <w:r>
        <w:rPr>
          <w:lang w:val="en-GB" w:eastAsia="x-none"/>
        </w:rPr>
        <w:t>During the previous discussion in R17, we assume b</w:t>
      </w:r>
      <w:r w:rsidRPr="00226190">
        <w:rPr>
          <w:lang w:val="en-GB" w:eastAsia="x-none"/>
        </w:rPr>
        <w:t>asic GNSS accuracy: 50m (not an agreement just assumption during the discussion)</w:t>
      </w:r>
      <w:r>
        <w:rPr>
          <w:lang w:val="en-GB" w:eastAsia="x-none"/>
        </w:rPr>
        <w:t xml:space="preserve"> and s</w:t>
      </w:r>
      <w:r w:rsidRPr="00226190">
        <w:rPr>
          <w:lang w:val="en-GB" w:eastAsia="x-none"/>
        </w:rPr>
        <w:t>erving-satellite positioning accuracy: 30m (not an agreement just assumption during the discussion)</w:t>
      </w:r>
      <w:r>
        <w:rPr>
          <w:lang w:val="en-GB" w:eastAsia="x-none"/>
        </w:rPr>
        <w:t xml:space="preserve">. For R18 </w:t>
      </w:r>
      <w:proofErr w:type="spellStart"/>
      <w:r>
        <w:rPr>
          <w:lang w:val="en-GB" w:eastAsia="x-none"/>
        </w:rPr>
        <w:t>eNTN</w:t>
      </w:r>
      <w:proofErr w:type="spellEnd"/>
      <w:r>
        <w:rPr>
          <w:lang w:val="en-GB" w:eastAsia="x-none"/>
        </w:rPr>
        <w:t>, it was stated in the WID that o</w:t>
      </w:r>
      <w:r w:rsidRPr="00226190">
        <w:rPr>
          <w:lang w:val="en-GB" w:eastAsia="x-none"/>
        </w:rPr>
        <w:t>nly “VSAT” devices with directive antenna (including fixed and moving platform mounted devices) are supported in above 10 GHz bands.</w:t>
      </w:r>
      <w:r>
        <w:rPr>
          <w:lang w:val="en-GB" w:eastAsia="x-none"/>
        </w:rPr>
        <w:t xml:space="preserve"> In our view, for such VSAT UE, the UE side GNSS performance shall be better than the R17 UE. The GNSS performance requirement is </w:t>
      </w:r>
      <w:r w:rsidR="004D38D7">
        <w:rPr>
          <w:lang w:val="en-GB" w:eastAsia="x-none"/>
        </w:rPr>
        <w:t>specified</w:t>
      </w:r>
      <w:r>
        <w:rPr>
          <w:lang w:val="en-GB" w:eastAsia="x-none"/>
        </w:rPr>
        <w:t xml:space="preserve"> in TS38.171, </w:t>
      </w:r>
    </w:p>
    <w:p w14:paraId="1D8E95F4" w14:textId="4F5402C9" w:rsidR="004D38D7" w:rsidRPr="004D38D7" w:rsidRDefault="004D38D7" w:rsidP="00226190">
      <w:pPr>
        <w:jc w:val="both"/>
        <w:rPr>
          <w:lang w:val="en-GB" w:eastAsia="x-none"/>
        </w:rPr>
      </w:pPr>
      <w:r>
        <w:rPr>
          <w:lang w:val="en-GB" w:eastAsia="x-none"/>
        </w:rPr>
        <w:t xml:space="preserve">For UE </w:t>
      </w:r>
      <w:r w:rsidRPr="004D38D7">
        <w:rPr>
          <w:lang w:val="en-GB" w:eastAsia="x-none"/>
        </w:rPr>
        <w:t>that support A-GPS L1 C/A only, the nominal accuracy in ideal condition is: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D38D7" w:rsidRPr="00033949" w14:paraId="2E2DAF3F" w14:textId="77777777" w:rsidTr="00366B8B">
        <w:trPr>
          <w:cantSplit/>
          <w:tblHeader/>
          <w:jc w:val="center"/>
        </w:trPr>
        <w:tc>
          <w:tcPr>
            <w:tcW w:w="2140" w:type="dxa"/>
            <w:tcBorders>
              <w:bottom w:val="single" w:sz="4" w:space="0" w:color="auto"/>
            </w:tcBorders>
          </w:tcPr>
          <w:p w14:paraId="4AD8F5CE" w14:textId="77777777" w:rsidR="004D38D7" w:rsidRPr="00033949" w:rsidRDefault="004D38D7" w:rsidP="00366B8B">
            <w:pPr>
              <w:pStyle w:val="TAH"/>
            </w:pPr>
            <w:r w:rsidRPr="00033949">
              <w:t>Success rate</w:t>
            </w:r>
          </w:p>
        </w:tc>
        <w:tc>
          <w:tcPr>
            <w:tcW w:w="2160" w:type="dxa"/>
            <w:tcBorders>
              <w:bottom w:val="single" w:sz="4" w:space="0" w:color="auto"/>
            </w:tcBorders>
          </w:tcPr>
          <w:p w14:paraId="005AC704" w14:textId="77777777" w:rsidR="004D38D7" w:rsidRPr="00033949" w:rsidRDefault="004D38D7" w:rsidP="00366B8B">
            <w:pPr>
              <w:pStyle w:val="TAH"/>
            </w:pPr>
            <w:r w:rsidRPr="00033949">
              <w:t>2-D position error</w:t>
            </w:r>
          </w:p>
        </w:tc>
        <w:tc>
          <w:tcPr>
            <w:tcW w:w="3510" w:type="dxa"/>
            <w:tcBorders>
              <w:bottom w:val="single" w:sz="4" w:space="0" w:color="auto"/>
            </w:tcBorders>
          </w:tcPr>
          <w:p w14:paraId="35919C80" w14:textId="77777777" w:rsidR="004D38D7" w:rsidRPr="00033949" w:rsidRDefault="004D38D7" w:rsidP="00366B8B">
            <w:pPr>
              <w:pStyle w:val="TAH"/>
            </w:pPr>
            <w:r w:rsidRPr="00033949">
              <w:t>Max response time</w:t>
            </w:r>
          </w:p>
        </w:tc>
      </w:tr>
      <w:tr w:rsidR="004D38D7" w:rsidRPr="00033949" w14:paraId="4C167C90" w14:textId="77777777" w:rsidTr="00366B8B">
        <w:trPr>
          <w:cantSplit/>
          <w:jc w:val="center"/>
        </w:trPr>
        <w:tc>
          <w:tcPr>
            <w:tcW w:w="2140" w:type="dxa"/>
          </w:tcPr>
          <w:p w14:paraId="29A8D676" w14:textId="77777777" w:rsidR="004D38D7" w:rsidRPr="00033949" w:rsidRDefault="004D38D7" w:rsidP="00366B8B">
            <w:pPr>
              <w:pStyle w:val="TAC"/>
            </w:pPr>
            <w:r w:rsidRPr="00033949">
              <w:t>95 %</w:t>
            </w:r>
          </w:p>
        </w:tc>
        <w:tc>
          <w:tcPr>
            <w:tcW w:w="2160" w:type="dxa"/>
          </w:tcPr>
          <w:p w14:paraId="4D3826C9" w14:textId="77777777" w:rsidR="004D38D7" w:rsidRPr="00033949" w:rsidRDefault="004D38D7" w:rsidP="00366B8B">
            <w:pPr>
              <w:pStyle w:val="TAC"/>
            </w:pPr>
            <w:r w:rsidRPr="00033949">
              <w:t>30 m</w:t>
            </w:r>
          </w:p>
        </w:tc>
        <w:tc>
          <w:tcPr>
            <w:tcW w:w="3510" w:type="dxa"/>
          </w:tcPr>
          <w:p w14:paraId="7E34D684" w14:textId="77777777" w:rsidR="004D38D7" w:rsidRPr="00033949" w:rsidRDefault="004D38D7" w:rsidP="00366B8B">
            <w:pPr>
              <w:pStyle w:val="TAC"/>
            </w:pPr>
            <w:r w:rsidRPr="00033949">
              <w:t>20 s</w:t>
            </w:r>
          </w:p>
        </w:tc>
      </w:tr>
    </w:tbl>
    <w:p w14:paraId="0066043A" w14:textId="1D4848DC" w:rsidR="004D38D7" w:rsidRPr="004D38D7" w:rsidRDefault="004D38D7" w:rsidP="004D38D7">
      <w:pPr>
        <w:jc w:val="both"/>
        <w:rPr>
          <w:lang w:val="en-GB" w:eastAsia="x-none"/>
        </w:rPr>
      </w:pPr>
      <w:r>
        <w:rPr>
          <w:lang w:val="en-GB" w:eastAsia="x-none"/>
        </w:rPr>
        <w:t xml:space="preserve">For UE that </w:t>
      </w:r>
      <w:r w:rsidRPr="004D38D7">
        <w:rPr>
          <w:lang w:val="en-GB" w:eastAsia="x-none"/>
        </w:rPr>
        <w:t>support other A-GNSSs than GPS L1 C/A, or multiple A-GNSSs which may or may not include GPS L1 C/A</w:t>
      </w:r>
      <w:r>
        <w:rPr>
          <w:lang w:val="en-GB" w:eastAsia="x-none"/>
        </w:rPr>
        <w:t>, the</w:t>
      </w:r>
      <w:r w:rsidRPr="004D38D7">
        <w:rPr>
          <w:lang w:val="en-GB" w:eastAsia="x-none"/>
        </w:rPr>
        <w:t xml:space="preserve"> nominal accuracy in ideal condition is: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D38D7" w:rsidRPr="00033949" w14:paraId="5A7918F3" w14:textId="77777777" w:rsidTr="00366B8B">
        <w:trPr>
          <w:cantSplit/>
          <w:tblHeader/>
          <w:jc w:val="center"/>
        </w:trPr>
        <w:tc>
          <w:tcPr>
            <w:tcW w:w="1250" w:type="dxa"/>
            <w:tcBorders>
              <w:bottom w:val="single" w:sz="4" w:space="0" w:color="auto"/>
            </w:tcBorders>
          </w:tcPr>
          <w:p w14:paraId="282E41F7" w14:textId="77777777" w:rsidR="004D38D7" w:rsidRPr="00033949" w:rsidRDefault="004D38D7" w:rsidP="00366B8B">
            <w:pPr>
              <w:pStyle w:val="TAH"/>
            </w:pPr>
            <w:r w:rsidRPr="00033949">
              <w:lastRenderedPageBreak/>
              <w:t>System</w:t>
            </w:r>
          </w:p>
        </w:tc>
        <w:tc>
          <w:tcPr>
            <w:tcW w:w="1686" w:type="dxa"/>
            <w:tcBorders>
              <w:bottom w:val="single" w:sz="4" w:space="0" w:color="auto"/>
            </w:tcBorders>
          </w:tcPr>
          <w:p w14:paraId="11A577CD" w14:textId="77777777" w:rsidR="004D38D7" w:rsidRPr="00033949" w:rsidRDefault="004D38D7" w:rsidP="00366B8B">
            <w:pPr>
              <w:pStyle w:val="TAH"/>
            </w:pPr>
            <w:r w:rsidRPr="00033949">
              <w:t>Success rate</w:t>
            </w:r>
          </w:p>
        </w:tc>
        <w:tc>
          <w:tcPr>
            <w:tcW w:w="1984" w:type="dxa"/>
            <w:tcBorders>
              <w:bottom w:val="single" w:sz="4" w:space="0" w:color="auto"/>
            </w:tcBorders>
          </w:tcPr>
          <w:p w14:paraId="13F1A980" w14:textId="77777777" w:rsidR="004D38D7" w:rsidRPr="00033949" w:rsidRDefault="004D38D7" w:rsidP="00366B8B">
            <w:pPr>
              <w:pStyle w:val="TAH"/>
            </w:pPr>
            <w:r w:rsidRPr="00033949">
              <w:t>2-D position error</w:t>
            </w:r>
          </w:p>
        </w:tc>
        <w:tc>
          <w:tcPr>
            <w:tcW w:w="2552" w:type="dxa"/>
            <w:tcBorders>
              <w:bottom w:val="single" w:sz="4" w:space="0" w:color="auto"/>
            </w:tcBorders>
          </w:tcPr>
          <w:p w14:paraId="3900458E" w14:textId="77777777" w:rsidR="004D38D7" w:rsidRPr="00033949" w:rsidRDefault="004D38D7" w:rsidP="00366B8B">
            <w:pPr>
              <w:pStyle w:val="TAH"/>
            </w:pPr>
            <w:r w:rsidRPr="00033949">
              <w:t>Max response time</w:t>
            </w:r>
          </w:p>
        </w:tc>
      </w:tr>
      <w:tr w:rsidR="004D38D7" w:rsidRPr="00033949" w14:paraId="5A233D9D" w14:textId="77777777" w:rsidTr="00366B8B">
        <w:trPr>
          <w:cantSplit/>
          <w:jc w:val="center"/>
        </w:trPr>
        <w:tc>
          <w:tcPr>
            <w:tcW w:w="1250" w:type="dxa"/>
          </w:tcPr>
          <w:p w14:paraId="72BEFD3D" w14:textId="77777777" w:rsidR="004D38D7" w:rsidRPr="00033949" w:rsidRDefault="004D38D7" w:rsidP="00366B8B">
            <w:pPr>
              <w:pStyle w:val="TAC"/>
            </w:pPr>
            <w:r w:rsidRPr="00033949">
              <w:t>All</w:t>
            </w:r>
          </w:p>
        </w:tc>
        <w:tc>
          <w:tcPr>
            <w:tcW w:w="1686" w:type="dxa"/>
          </w:tcPr>
          <w:p w14:paraId="2405FAA2" w14:textId="77777777" w:rsidR="004D38D7" w:rsidRPr="00033949" w:rsidRDefault="004D38D7" w:rsidP="00366B8B">
            <w:pPr>
              <w:pStyle w:val="TAC"/>
            </w:pPr>
            <w:r w:rsidRPr="00033949">
              <w:t>95 %</w:t>
            </w:r>
          </w:p>
        </w:tc>
        <w:tc>
          <w:tcPr>
            <w:tcW w:w="1984" w:type="dxa"/>
          </w:tcPr>
          <w:p w14:paraId="146CDADE" w14:textId="77777777" w:rsidR="004D38D7" w:rsidRPr="00033949" w:rsidRDefault="004D38D7" w:rsidP="00366B8B">
            <w:pPr>
              <w:pStyle w:val="TAC"/>
            </w:pPr>
            <w:r w:rsidRPr="00033949">
              <w:t>15 m</w:t>
            </w:r>
          </w:p>
        </w:tc>
        <w:tc>
          <w:tcPr>
            <w:tcW w:w="2552" w:type="dxa"/>
          </w:tcPr>
          <w:p w14:paraId="2F152B19" w14:textId="77777777" w:rsidR="004D38D7" w:rsidRPr="00033949" w:rsidRDefault="004D38D7" w:rsidP="00366B8B">
            <w:pPr>
              <w:pStyle w:val="TAC"/>
            </w:pPr>
            <w:r w:rsidRPr="00033949">
              <w:t>20 s</w:t>
            </w:r>
          </w:p>
        </w:tc>
      </w:tr>
    </w:tbl>
    <w:p w14:paraId="32ECE6CC" w14:textId="77777777" w:rsidR="00EC4998" w:rsidRDefault="00EC4998" w:rsidP="00596D2E">
      <w:pPr>
        <w:jc w:val="both"/>
        <w:rPr>
          <w:lang w:val="en-GB" w:eastAsia="x-none"/>
        </w:rPr>
      </w:pPr>
    </w:p>
    <w:p w14:paraId="16FC0265" w14:textId="1A9033DA" w:rsidR="004A4A05" w:rsidRDefault="004D38D7" w:rsidP="00596D2E">
      <w:pPr>
        <w:jc w:val="both"/>
        <w:rPr>
          <w:lang w:val="en-GB" w:eastAsia="x-none"/>
        </w:rPr>
      </w:pPr>
      <w:r>
        <w:rPr>
          <w:lang w:val="en-GB" w:eastAsia="x-none"/>
        </w:rPr>
        <w:t xml:space="preserve">In Ka band the directional antenna filters out most of multiple </w:t>
      </w:r>
      <w:proofErr w:type="gramStart"/>
      <w:r>
        <w:rPr>
          <w:lang w:val="en-GB" w:eastAsia="x-none"/>
        </w:rPr>
        <w:t>path</w:t>
      </w:r>
      <w:proofErr w:type="gramEnd"/>
      <w:r>
        <w:rPr>
          <w:lang w:val="en-GB" w:eastAsia="x-none"/>
        </w:rPr>
        <w:t xml:space="preserve"> impacts on the channel and therefore we think the minimum requirement of 30m can be used as an enhancement</w:t>
      </w:r>
      <w:r w:rsidR="00B6747C">
        <w:rPr>
          <w:lang w:val="en-GB" w:eastAsia="x-none"/>
        </w:rPr>
        <w:t xml:space="preserve"> (we are not sure </w:t>
      </w:r>
      <w:r w:rsidR="00167E36">
        <w:rPr>
          <w:lang w:val="en-GB" w:eastAsia="x-none"/>
        </w:rPr>
        <w:t>which GNSS system can be supported by the VSAT, and then we just select worse case for the generic requirement</w:t>
      </w:r>
      <w:r w:rsidR="00B6747C">
        <w:rPr>
          <w:lang w:val="en-GB" w:eastAsia="x-none"/>
        </w:rPr>
        <w:t>)</w:t>
      </w:r>
      <w:r>
        <w:rPr>
          <w:lang w:val="en-GB" w:eastAsia="x-none"/>
        </w:rPr>
        <w:t xml:space="preserve">. </w:t>
      </w:r>
      <w:r w:rsidR="00596D2E">
        <w:rPr>
          <w:lang w:val="en-GB" w:eastAsia="x-none"/>
        </w:rPr>
        <w:t xml:space="preserve">In </w:t>
      </w:r>
      <w:r w:rsidR="00EC4998">
        <w:rPr>
          <w:lang w:val="en-GB" w:eastAsia="x-none"/>
        </w:rPr>
        <w:t>previous</w:t>
      </w:r>
      <w:r w:rsidR="00596D2E">
        <w:rPr>
          <w:lang w:val="en-GB" w:eastAsia="x-none"/>
        </w:rPr>
        <w:t xml:space="preserve"> meeting, </w:t>
      </w:r>
      <w:proofErr w:type="gramStart"/>
      <w:r w:rsidR="00596D2E">
        <w:rPr>
          <w:lang w:val="en-GB" w:eastAsia="x-none"/>
        </w:rPr>
        <w:t>Infra</w:t>
      </w:r>
      <w:proofErr w:type="gramEnd"/>
      <w:r w:rsidR="00596D2E">
        <w:rPr>
          <w:lang w:val="en-GB" w:eastAsia="x-none"/>
        </w:rPr>
        <w:t xml:space="preserve"> vendors commented that UE capability needs to be enhanced otherwise it’s impossible to support such big </w:t>
      </w:r>
      <w:proofErr w:type="spellStart"/>
      <w:r w:rsidR="00596D2E">
        <w:rPr>
          <w:lang w:val="en-GB" w:eastAsia="x-none"/>
        </w:rPr>
        <w:t>Te</w:t>
      </w:r>
      <w:proofErr w:type="spellEnd"/>
      <w:r w:rsidR="00596D2E">
        <w:rPr>
          <w:lang w:val="en-GB" w:eastAsia="x-none"/>
        </w:rPr>
        <w:t xml:space="preserve"> at network side. </w:t>
      </w:r>
      <w:proofErr w:type="gramStart"/>
      <w:r w:rsidR="00596D2E">
        <w:rPr>
          <w:lang w:val="en-GB" w:eastAsia="x-none"/>
        </w:rPr>
        <w:t>In order to</w:t>
      </w:r>
      <w:proofErr w:type="gramEnd"/>
      <w:r w:rsidR="00596D2E">
        <w:rPr>
          <w:lang w:val="en-GB" w:eastAsia="x-none"/>
        </w:rPr>
        <w:t xml:space="preserve"> accommodate the Infra vendor’s concern, we think the </w:t>
      </w:r>
      <w:r w:rsidR="004A4A05">
        <w:rPr>
          <w:lang w:val="en-GB" w:eastAsia="x-none"/>
        </w:rPr>
        <w:t xml:space="preserve">stationary </w:t>
      </w:r>
      <w:r w:rsidR="00596D2E">
        <w:rPr>
          <w:lang w:val="en-GB" w:eastAsia="x-none"/>
        </w:rPr>
        <w:t>VSAT UE</w:t>
      </w:r>
      <w:r w:rsidR="004A4A05">
        <w:rPr>
          <w:lang w:val="en-GB" w:eastAsia="x-none"/>
        </w:rPr>
        <w:t xml:space="preserve"> in case 1 and case 2</w:t>
      </w:r>
      <w:r w:rsidR="00596D2E">
        <w:rPr>
          <w:lang w:val="en-GB" w:eastAsia="x-none"/>
        </w:rPr>
        <w:t xml:space="preserve"> could use the ideal GNSS performance in TS38.171 as baseline, that is, 15 meter</w:t>
      </w:r>
      <w:r w:rsidR="004A4A05">
        <w:rPr>
          <w:lang w:val="en-GB" w:eastAsia="x-none"/>
        </w:rPr>
        <w:t xml:space="preserve">, while the </w:t>
      </w:r>
      <w:r w:rsidR="004A4A05">
        <w:rPr>
          <w:lang w:eastAsia="ja-JP"/>
        </w:rPr>
        <w:t>m</w:t>
      </w:r>
      <w:r w:rsidR="004A4A05" w:rsidRPr="004A4A05">
        <w:rPr>
          <w:lang w:eastAsia="ja-JP"/>
        </w:rPr>
        <w:t xml:space="preserve">obile </w:t>
      </w:r>
      <w:r w:rsidR="004A4A05">
        <w:rPr>
          <w:lang w:val="en-GB" w:eastAsia="x-none"/>
        </w:rPr>
        <w:t>VSAT UE in case 3 may need more margin for GNSS accuracy, i.e., 30 meters.</w:t>
      </w:r>
    </w:p>
    <w:p w14:paraId="174C0871" w14:textId="77777777" w:rsidR="00EC4998" w:rsidRDefault="00EC4998" w:rsidP="00596D2E">
      <w:pPr>
        <w:jc w:val="both"/>
        <w:rPr>
          <w:lang w:val="en-GB" w:eastAsia="x-none"/>
        </w:rPr>
      </w:pPr>
    </w:p>
    <w:p w14:paraId="28D88427" w14:textId="5AEC8342" w:rsidR="008B62B5" w:rsidRDefault="00167E36" w:rsidP="00596D2E">
      <w:pPr>
        <w:jc w:val="both"/>
        <w:rPr>
          <w:lang w:val="en-GB" w:eastAsia="x-none"/>
        </w:rPr>
      </w:pPr>
      <w:r>
        <w:rPr>
          <w:lang w:val="en-GB" w:eastAsia="x-none"/>
        </w:rPr>
        <w:t xml:space="preserve">For the </w:t>
      </w:r>
      <w:r w:rsidRPr="00167E36">
        <w:rPr>
          <w:lang w:val="en-GB" w:eastAsia="x-none"/>
        </w:rPr>
        <w:t>serving-satellite position estimation error</w:t>
      </w:r>
      <w:r>
        <w:rPr>
          <w:lang w:val="en-GB" w:eastAsia="x-none"/>
        </w:rPr>
        <w:t xml:space="preserve">, </w:t>
      </w:r>
      <w:r w:rsidR="00596D2E">
        <w:rPr>
          <w:lang w:val="en-GB" w:eastAsia="x-none"/>
        </w:rPr>
        <w:t>same principle from R17 can be assumed here</w:t>
      </w:r>
      <w:r w:rsidR="00EC4998">
        <w:rPr>
          <w:lang w:val="en-GB" w:eastAsia="x-none"/>
        </w:rPr>
        <w:t>,</w:t>
      </w:r>
      <w:r w:rsidR="00596D2E">
        <w:rPr>
          <w:lang w:val="en-GB" w:eastAsia="x-none"/>
        </w:rPr>
        <w:t xml:space="preserve"> and that means this error is same as the UE GNSS estimation error</w:t>
      </w:r>
      <w:r>
        <w:rPr>
          <w:lang w:val="en-GB" w:eastAsia="x-none"/>
        </w:rPr>
        <w:t>. Thus, we think the</w:t>
      </w:r>
      <w:r w:rsidRPr="00167E36">
        <w:rPr>
          <w:lang w:val="en-GB" w:eastAsia="x-none"/>
        </w:rPr>
        <w:t xml:space="preserve"> UE GNSS accuracy for </w:t>
      </w:r>
      <w:proofErr w:type="spellStart"/>
      <w:r w:rsidRPr="00167E36">
        <w:rPr>
          <w:lang w:val="en-GB" w:eastAsia="x-none"/>
        </w:rPr>
        <w:t>eNTN</w:t>
      </w:r>
      <w:proofErr w:type="spellEnd"/>
      <w:r w:rsidRPr="00167E36">
        <w:rPr>
          <w:lang w:val="en-GB" w:eastAsia="x-none"/>
        </w:rPr>
        <w:t xml:space="preserve"> can be as small as </w:t>
      </w:r>
      <w:r w:rsidR="00596D2E">
        <w:rPr>
          <w:lang w:val="en-GB" w:eastAsia="x-none"/>
        </w:rPr>
        <w:t>15</w:t>
      </w:r>
      <w:r w:rsidRPr="00167E36">
        <w:rPr>
          <w:lang w:val="en-GB" w:eastAsia="x-none"/>
        </w:rPr>
        <w:t xml:space="preserve"> meters and serving-satellite position estimation error</w:t>
      </w:r>
      <w:r>
        <w:rPr>
          <w:lang w:val="en-GB" w:eastAsia="x-none"/>
        </w:rPr>
        <w:t xml:space="preserve"> is </w:t>
      </w:r>
      <w:r w:rsidR="00596D2E">
        <w:rPr>
          <w:lang w:val="en-GB" w:eastAsia="x-none"/>
        </w:rPr>
        <w:t>also</w:t>
      </w:r>
      <w:r>
        <w:rPr>
          <w:lang w:val="en-GB" w:eastAsia="x-none"/>
        </w:rPr>
        <w:t xml:space="preserve"> </w:t>
      </w:r>
      <w:r w:rsidR="00596D2E">
        <w:rPr>
          <w:lang w:val="en-GB" w:eastAsia="x-none"/>
        </w:rPr>
        <w:t>15</w:t>
      </w:r>
      <w:r>
        <w:rPr>
          <w:lang w:val="en-GB" w:eastAsia="x-none"/>
        </w:rPr>
        <w:t xml:space="preserve"> meters</w:t>
      </w:r>
      <w:r w:rsidR="008B62B5">
        <w:rPr>
          <w:lang w:val="en-GB" w:eastAsia="x-none"/>
        </w:rPr>
        <w:t xml:space="preserve"> when the satellite is GSO</w:t>
      </w:r>
      <w:r w:rsidR="004A4A05">
        <w:rPr>
          <w:lang w:val="en-GB" w:eastAsia="x-none"/>
        </w:rPr>
        <w:t xml:space="preserve">. </w:t>
      </w:r>
      <w:r w:rsidR="008B62B5">
        <w:rPr>
          <w:lang w:val="en-GB" w:eastAsia="x-none"/>
        </w:rPr>
        <w:t xml:space="preserve">However, </w:t>
      </w:r>
      <w:r w:rsidR="008B62B5" w:rsidRPr="00167E36">
        <w:rPr>
          <w:lang w:val="en-GB" w:eastAsia="x-none"/>
        </w:rPr>
        <w:t>serving-satellite position estimation error</w:t>
      </w:r>
      <w:r w:rsidR="008B62B5">
        <w:rPr>
          <w:lang w:val="en-GB" w:eastAsia="x-none"/>
        </w:rPr>
        <w:t xml:space="preserve"> for the LEO satellite also needs more margin, and therefore we propose to have 30 meters for it, as same as the mobile UE’s GNSS accuracy (following R17 logic). </w:t>
      </w:r>
    </w:p>
    <w:p w14:paraId="409C1D1F" w14:textId="77777777" w:rsidR="00EC4998" w:rsidRDefault="00EC4998" w:rsidP="00596D2E">
      <w:pPr>
        <w:jc w:val="both"/>
        <w:rPr>
          <w:lang w:val="en-GB" w:eastAsia="x-none"/>
        </w:rPr>
      </w:pPr>
    </w:p>
    <w:p w14:paraId="0EF5AC6B" w14:textId="02042D87" w:rsidR="00596D2E" w:rsidRDefault="00596D2E" w:rsidP="00596D2E">
      <w:pPr>
        <w:jc w:val="both"/>
        <w:rPr>
          <w:lang w:val="en-GB" w:eastAsia="x-none"/>
        </w:rPr>
      </w:pPr>
      <w:r>
        <w:rPr>
          <w:lang w:val="en-GB" w:eastAsia="x-none"/>
        </w:rPr>
        <w:t>We don’t see any difference of GNSS error for different SCS size, as the GNSS model is independent from the NTN cellular model. Thus, for</w:t>
      </w:r>
      <w:r w:rsidRPr="00596D2E">
        <w:rPr>
          <w:lang w:val="en-GB" w:eastAsia="x-none"/>
        </w:rPr>
        <w:t xml:space="preserve"> UL SCS of 60kHz</w:t>
      </w:r>
      <w:r>
        <w:rPr>
          <w:lang w:val="en-GB" w:eastAsia="x-none"/>
        </w:rPr>
        <w:t xml:space="preserve"> and 120</w:t>
      </w:r>
      <w:r w:rsidR="008B62B5">
        <w:rPr>
          <w:lang w:val="en-GB" w:eastAsia="x-none"/>
        </w:rPr>
        <w:t>kHz</w:t>
      </w:r>
      <w:r w:rsidRPr="00596D2E">
        <w:rPr>
          <w:lang w:val="en-GB" w:eastAsia="x-none"/>
        </w:rPr>
        <w:t xml:space="preserve">, </w:t>
      </w:r>
      <w:r>
        <w:rPr>
          <w:lang w:val="en-GB" w:eastAsia="x-none"/>
        </w:rPr>
        <w:t>X=Y.</w:t>
      </w:r>
      <w:r w:rsidR="008B62B5">
        <w:rPr>
          <w:lang w:val="en-GB" w:eastAsia="x-none"/>
        </w:rPr>
        <w:t xml:space="preserve"> In summary, the following error assumptions are used in our calculation. </w:t>
      </w:r>
    </w:p>
    <w:p w14:paraId="10DDDC7B" w14:textId="77777777" w:rsidR="00EC4998" w:rsidRDefault="00EC4998" w:rsidP="00596D2E">
      <w:pPr>
        <w:jc w:val="both"/>
        <w:rPr>
          <w:lang w:val="en-GB" w:eastAsia="x-none"/>
        </w:rPr>
      </w:pPr>
    </w:p>
    <w:tbl>
      <w:tblPr>
        <w:tblStyle w:val="TableGrid"/>
        <w:tblW w:w="0" w:type="auto"/>
        <w:tblLook w:val="04A0" w:firstRow="1" w:lastRow="0" w:firstColumn="1" w:lastColumn="0" w:noHBand="0" w:noVBand="1"/>
      </w:tblPr>
      <w:tblGrid>
        <w:gridCol w:w="2065"/>
        <w:gridCol w:w="3780"/>
        <w:gridCol w:w="3784"/>
      </w:tblGrid>
      <w:tr w:rsidR="008B62B5" w14:paraId="16513F98" w14:textId="77777777" w:rsidTr="008B62B5">
        <w:tc>
          <w:tcPr>
            <w:tcW w:w="2065" w:type="dxa"/>
          </w:tcPr>
          <w:p w14:paraId="6F08CC2F" w14:textId="0EA2D255" w:rsidR="008B62B5" w:rsidRDefault="00F174FA" w:rsidP="008B62B5">
            <w:pPr>
              <w:spacing w:after="0"/>
              <w:jc w:val="both"/>
              <w:rPr>
                <w:lang w:val="en-GB" w:eastAsia="x-none"/>
              </w:rPr>
            </w:pPr>
            <w:r w:rsidRPr="00F174FA">
              <w:rPr>
                <w:lang w:val="en-GB" w:eastAsia="x-none"/>
              </w:rPr>
              <w:t>•</w:t>
            </w:r>
            <w:r w:rsidRPr="00F174FA">
              <w:rPr>
                <w:lang w:val="en-GB" w:eastAsia="x-none"/>
              </w:rPr>
              <w:tab/>
              <w:t>UL 120kHz SCS</w:t>
            </w:r>
          </w:p>
        </w:tc>
        <w:tc>
          <w:tcPr>
            <w:tcW w:w="3780" w:type="dxa"/>
          </w:tcPr>
          <w:p w14:paraId="3F8E09D4" w14:textId="28D24A6B" w:rsidR="008B62B5" w:rsidRDefault="008B62B5" w:rsidP="008B62B5">
            <w:pPr>
              <w:spacing w:after="0"/>
              <w:jc w:val="both"/>
              <w:rPr>
                <w:lang w:val="en-GB" w:eastAsia="x-none"/>
              </w:rPr>
            </w:pPr>
            <w:r>
              <w:rPr>
                <w:lang w:val="en-GB" w:eastAsia="x-none"/>
              </w:rPr>
              <w:t>GSO</w:t>
            </w:r>
          </w:p>
        </w:tc>
        <w:tc>
          <w:tcPr>
            <w:tcW w:w="3784" w:type="dxa"/>
          </w:tcPr>
          <w:p w14:paraId="471BF34A" w14:textId="7F3A1D60" w:rsidR="008B62B5" w:rsidRDefault="008B62B5" w:rsidP="008B62B5">
            <w:pPr>
              <w:spacing w:after="0"/>
              <w:jc w:val="both"/>
              <w:rPr>
                <w:lang w:val="en-GB" w:eastAsia="x-none"/>
              </w:rPr>
            </w:pPr>
            <w:r>
              <w:rPr>
                <w:lang w:val="en-GB" w:eastAsia="x-none"/>
              </w:rPr>
              <w:t>LEO</w:t>
            </w:r>
          </w:p>
        </w:tc>
      </w:tr>
      <w:tr w:rsidR="008B62B5" w14:paraId="69A6917A" w14:textId="77777777" w:rsidTr="008B62B5">
        <w:tc>
          <w:tcPr>
            <w:tcW w:w="2065" w:type="dxa"/>
          </w:tcPr>
          <w:p w14:paraId="4601584D" w14:textId="15D7410E" w:rsidR="008B62B5" w:rsidRDefault="008B62B5" w:rsidP="008B62B5">
            <w:pPr>
              <w:spacing w:after="0"/>
              <w:jc w:val="both"/>
              <w:rPr>
                <w:lang w:val="en-GB" w:eastAsia="x-none"/>
              </w:rPr>
            </w:pPr>
            <w:r w:rsidRPr="004A4A05">
              <w:rPr>
                <w:lang w:eastAsia="ja-JP"/>
              </w:rPr>
              <w:t>Stationary UE</w:t>
            </w:r>
          </w:p>
        </w:tc>
        <w:tc>
          <w:tcPr>
            <w:tcW w:w="3780" w:type="dxa"/>
          </w:tcPr>
          <w:p w14:paraId="3CA550A6" w14:textId="3A747867" w:rsidR="008B62B5" w:rsidRDefault="008B62B5" w:rsidP="00F174FA">
            <w:pPr>
              <w:spacing w:after="0"/>
              <w:jc w:val="both"/>
              <w:rPr>
                <w:lang w:val="en-GB" w:eastAsia="x-none"/>
              </w:rPr>
            </w:pPr>
            <w:r w:rsidRPr="00F174FA">
              <w:rPr>
                <w:highlight w:val="green"/>
                <w:lang w:val="en-GB" w:eastAsia="x-none"/>
              </w:rPr>
              <w:t>Case 1</w:t>
            </w:r>
            <w:r w:rsidR="00F174FA" w:rsidRPr="00F174FA">
              <w:rPr>
                <w:highlight w:val="green"/>
                <w:lang w:val="en-GB" w:eastAsia="x-none"/>
              </w:rPr>
              <w:t xml:space="preserve"> already concluded with 7.5Ts</w:t>
            </w:r>
          </w:p>
        </w:tc>
        <w:tc>
          <w:tcPr>
            <w:tcW w:w="3784" w:type="dxa"/>
          </w:tcPr>
          <w:p w14:paraId="53F9E8CB" w14:textId="77777777" w:rsidR="008B62B5" w:rsidRPr="00F174FA" w:rsidRDefault="008B62B5" w:rsidP="008B62B5">
            <w:pPr>
              <w:spacing w:after="0"/>
              <w:jc w:val="both"/>
              <w:rPr>
                <w:highlight w:val="yellow"/>
                <w:lang w:val="en-GB" w:eastAsia="x-none"/>
              </w:rPr>
            </w:pPr>
            <w:r w:rsidRPr="00F174FA">
              <w:rPr>
                <w:highlight w:val="yellow"/>
                <w:lang w:val="en-GB" w:eastAsia="x-none"/>
              </w:rPr>
              <w:t xml:space="preserve">Case 2: </w:t>
            </w:r>
          </w:p>
          <w:p w14:paraId="3291492D" w14:textId="04087840" w:rsidR="008B62B5" w:rsidRPr="00F174FA" w:rsidRDefault="008B62B5" w:rsidP="008B62B5">
            <w:pPr>
              <w:spacing w:after="0"/>
              <w:jc w:val="both"/>
              <w:rPr>
                <w:highlight w:val="yellow"/>
                <w:lang w:val="en-GB" w:eastAsia="x-none"/>
              </w:rPr>
            </w:pPr>
            <w:r w:rsidRPr="00F174FA">
              <w:rPr>
                <w:highlight w:val="yellow"/>
                <w:lang w:val="en-GB" w:eastAsia="x-none"/>
              </w:rPr>
              <w:t>UE GNSS error: 15m</w:t>
            </w:r>
          </w:p>
          <w:p w14:paraId="2D13BF81" w14:textId="6939F814" w:rsidR="008B62B5" w:rsidRDefault="008B62B5" w:rsidP="008B62B5">
            <w:pPr>
              <w:spacing w:after="0"/>
              <w:jc w:val="both"/>
              <w:rPr>
                <w:lang w:val="en-GB" w:eastAsia="x-none"/>
              </w:rPr>
            </w:pPr>
            <w:r w:rsidRPr="00F174FA">
              <w:rPr>
                <w:highlight w:val="yellow"/>
                <w:lang w:val="en-GB" w:eastAsia="x-none"/>
              </w:rPr>
              <w:t>satellite position error: 30m</w:t>
            </w:r>
          </w:p>
        </w:tc>
      </w:tr>
      <w:tr w:rsidR="008B62B5" w14:paraId="428E288B" w14:textId="77777777" w:rsidTr="008B62B5">
        <w:tc>
          <w:tcPr>
            <w:tcW w:w="2065" w:type="dxa"/>
          </w:tcPr>
          <w:p w14:paraId="3627D874" w14:textId="6DE84058" w:rsidR="008B62B5" w:rsidRDefault="008B62B5" w:rsidP="008B62B5">
            <w:pPr>
              <w:spacing w:after="0"/>
              <w:jc w:val="both"/>
              <w:rPr>
                <w:lang w:val="en-GB" w:eastAsia="x-none"/>
              </w:rPr>
            </w:pPr>
            <w:r w:rsidRPr="004A4A05">
              <w:rPr>
                <w:lang w:eastAsia="ja-JP"/>
              </w:rPr>
              <w:t>Mobile UE</w:t>
            </w:r>
          </w:p>
        </w:tc>
        <w:tc>
          <w:tcPr>
            <w:tcW w:w="3780" w:type="dxa"/>
          </w:tcPr>
          <w:p w14:paraId="771BC0C6" w14:textId="7EBF6DDA" w:rsidR="008B62B5" w:rsidRPr="00F174FA" w:rsidRDefault="008B62B5" w:rsidP="008B62B5">
            <w:pPr>
              <w:spacing w:after="0"/>
              <w:jc w:val="both"/>
              <w:rPr>
                <w:highlight w:val="yellow"/>
                <w:lang w:val="en-GB" w:eastAsia="x-none"/>
              </w:rPr>
            </w:pPr>
            <w:r w:rsidRPr="00F174FA">
              <w:rPr>
                <w:highlight w:val="yellow"/>
                <w:lang w:val="en-GB" w:eastAsia="x-none"/>
              </w:rPr>
              <w:t>Case 3:</w:t>
            </w:r>
          </w:p>
          <w:p w14:paraId="5FEC515A" w14:textId="62306EE9" w:rsidR="008B62B5" w:rsidRPr="00F174FA" w:rsidRDefault="008B62B5" w:rsidP="008B62B5">
            <w:pPr>
              <w:spacing w:after="0"/>
              <w:jc w:val="both"/>
              <w:rPr>
                <w:highlight w:val="yellow"/>
                <w:lang w:val="en-GB" w:eastAsia="x-none"/>
              </w:rPr>
            </w:pPr>
            <w:r w:rsidRPr="00F174FA">
              <w:rPr>
                <w:highlight w:val="yellow"/>
                <w:lang w:val="en-GB" w:eastAsia="x-none"/>
              </w:rPr>
              <w:t>UE GNSS error: 30m</w:t>
            </w:r>
          </w:p>
          <w:p w14:paraId="31A79988" w14:textId="3FA6ADF0" w:rsidR="008B62B5" w:rsidRPr="00F174FA" w:rsidRDefault="008B62B5" w:rsidP="008B62B5">
            <w:pPr>
              <w:spacing w:after="0"/>
              <w:jc w:val="both"/>
              <w:rPr>
                <w:highlight w:val="yellow"/>
                <w:lang w:val="en-GB" w:eastAsia="x-none"/>
              </w:rPr>
            </w:pPr>
            <w:r w:rsidRPr="00F174FA">
              <w:rPr>
                <w:highlight w:val="yellow"/>
                <w:lang w:val="en-GB" w:eastAsia="x-none"/>
              </w:rPr>
              <w:t xml:space="preserve">satellite position error: </w:t>
            </w:r>
            <w:r w:rsidR="00EC4998" w:rsidRPr="00F174FA">
              <w:rPr>
                <w:highlight w:val="yellow"/>
                <w:lang w:val="en-GB" w:eastAsia="x-none"/>
              </w:rPr>
              <w:t>15</w:t>
            </w:r>
            <w:r w:rsidRPr="00F174FA">
              <w:rPr>
                <w:highlight w:val="yellow"/>
                <w:lang w:val="en-GB" w:eastAsia="x-none"/>
              </w:rPr>
              <w:t>m</w:t>
            </w:r>
          </w:p>
        </w:tc>
        <w:tc>
          <w:tcPr>
            <w:tcW w:w="3784" w:type="dxa"/>
          </w:tcPr>
          <w:p w14:paraId="05B9C383" w14:textId="3AC82783" w:rsidR="008B62B5" w:rsidRDefault="008B62B5" w:rsidP="008B62B5">
            <w:pPr>
              <w:spacing w:after="0"/>
              <w:jc w:val="both"/>
              <w:rPr>
                <w:lang w:val="en-GB" w:eastAsia="x-none"/>
              </w:rPr>
            </w:pPr>
            <w:r>
              <w:rPr>
                <w:lang w:val="en-GB" w:eastAsia="x-none"/>
              </w:rPr>
              <w:t>NA</w:t>
            </w:r>
          </w:p>
        </w:tc>
      </w:tr>
    </w:tbl>
    <w:p w14:paraId="794E38F0" w14:textId="77777777" w:rsidR="008B62B5" w:rsidRDefault="008B62B5" w:rsidP="00596D2E">
      <w:pPr>
        <w:jc w:val="both"/>
        <w:rPr>
          <w:lang w:val="en-GB" w:eastAsia="x-none"/>
        </w:rPr>
      </w:pPr>
    </w:p>
    <w:p w14:paraId="041DF41E" w14:textId="32EE2A38" w:rsidR="008063FE" w:rsidRPr="008063FE" w:rsidRDefault="008063FE" w:rsidP="008063FE">
      <w:pPr>
        <w:rPr>
          <w:rFonts w:eastAsia="SimSun"/>
          <w:snapToGrid w:val="0"/>
        </w:rPr>
      </w:pPr>
      <w:proofErr w:type="spellStart"/>
      <w:r w:rsidRPr="008063FE">
        <w:rPr>
          <w:rFonts w:eastAsia="SimSun"/>
          <w:snapToGrid w:val="0"/>
        </w:rPr>
        <w:t>Tp</w:t>
      </w:r>
      <w:proofErr w:type="spellEnd"/>
      <w:r w:rsidRPr="008063FE">
        <w:rPr>
          <w:rFonts w:eastAsia="SimSun"/>
          <w:snapToGrid w:val="0"/>
        </w:rPr>
        <w:t xml:space="preserve"> = </w:t>
      </w:r>
      <w:proofErr w:type="spellStart"/>
      <w:proofErr w:type="gramStart"/>
      <w:r w:rsidRPr="008063FE">
        <w:rPr>
          <w:rFonts w:eastAsia="SimSun"/>
          <w:snapToGrid w:val="0"/>
        </w:rPr>
        <w:t>Tp,ue</w:t>
      </w:r>
      <w:proofErr w:type="spellEnd"/>
      <w:proofErr w:type="gramEnd"/>
      <w:r w:rsidRPr="008063FE">
        <w:rPr>
          <w:rFonts w:eastAsia="SimSun"/>
          <w:snapToGrid w:val="0"/>
        </w:rPr>
        <w:t xml:space="preserve"> + </w:t>
      </w:r>
      <w:proofErr w:type="spellStart"/>
      <w:r w:rsidRPr="008063FE">
        <w:rPr>
          <w:rFonts w:eastAsia="SimSun"/>
          <w:snapToGrid w:val="0"/>
        </w:rPr>
        <w:t>Tp,sat</w:t>
      </w:r>
      <w:proofErr w:type="spellEnd"/>
      <w:r w:rsidRPr="008063FE">
        <w:rPr>
          <w:rFonts w:eastAsia="SimSun"/>
          <w:snapToGrid w:val="0"/>
        </w:rPr>
        <w:t>: a round trip propagation delay estimation error due to UE position and satellite position estimation errors</w:t>
      </w:r>
      <w:r>
        <w:rPr>
          <w:rFonts w:eastAsia="SimSun"/>
          <w:snapToGrid w:val="0"/>
        </w:rPr>
        <w:t xml:space="preserve">. </w:t>
      </w:r>
      <w:r w:rsidRPr="008063FE">
        <w:rPr>
          <w:rFonts w:eastAsia="SimSun"/>
          <w:snapToGrid w:val="0"/>
        </w:rPr>
        <w:t xml:space="preserve">In </w:t>
      </w:r>
      <w:r>
        <w:rPr>
          <w:rFonts w:eastAsia="SimSun"/>
          <w:snapToGrid w:val="0"/>
        </w:rPr>
        <w:t>previous</w:t>
      </w:r>
      <w:r w:rsidRPr="008063FE">
        <w:rPr>
          <w:rFonts w:eastAsia="SimSun"/>
          <w:snapToGrid w:val="0"/>
        </w:rPr>
        <w:t xml:space="preserve"> RAN4 WF, it was agreed that,</w:t>
      </w:r>
    </w:p>
    <w:p w14:paraId="0C2ADE05" w14:textId="77777777" w:rsidR="008063FE" w:rsidRPr="008063FE" w:rsidRDefault="008063FE" w:rsidP="008063FE">
      <w:pPr>
        <w:pStyle w:val="B1"/>
        <w:spacing w:after="0"/>
        <w:rPr>
          <w:sz w:val="24"/>
          <w:szCs w:val="24"/>
        </w:rPr>
      </w:pPr>
      <w:proofErr w:type="spellStart"/>
      <w:r w:rsidRPr="008063FE">
        <w:rPr>
          <w:sz w:val="24"/>
          <w:szCs w:val="24"/>
        </w:rPr>
        <w:t>Tp,ue</w:t>
      </w:r>
      <w:proofErr w:type="spellEnd"/>
      <w:r w:rsidRPr="008063FE">
        <w:rPr>
          <w:sz w:val="24"/>
          <w:szCs w:val="24"/>
        </w:rPr>
        <w:t>: a round trip propagation delay estimation error due to [X]m of UE position error</w:t>
      </w:r>
    </w:p>
    <w:p w14:paraId="6394255B" w14:textId="77777777" w:rsidR="008063FE" w:rsidRPr="008063FE" w:rsidRDefault="008063FE" w:rsidP="008063FE">
      <w:pPr>
        <w:pStyle w:val="B1"/>
        <w:spacing w:after="0"/>
        <w:rPr>
          <w:sz w:val="24"/>
          <w:szCs w:val="24"/>
        </w:rPr>
      </w:pPr>
      <w:proofErr w:type="spellStart"/>
      <w:r w:rsidRPr="008063FE">
        <w:rPr>
          <w:sz w:val="24"/>
          <w:szCs w:val="24"/>
        </w:rPr>
        <w:t>Tp,</w:t>
      </w:r>
      <w:proofErr w:type="gramStart"/>
      <w:r w:rsidRPr="008063FE">
        <w:rPr>
          <w:sz w:val="24"/>
          <w:szCs w:val="24"/>
        </w:rPr>
        <w:t>sat</w:t>
      </w:r>
      <w:proofErr w:type="spellEnd"/>
      <w:r w:rsidRPr="008063FE">
        <w:rPr>
          <w:sz w:val="24"/>
          <w:szCs w:val="24"/>
        </w:rPr>
        <w:t>:</w:t>
      </w:r>
      <w:proofErr w:type="gramEnd"/>
      <w:r w:rsidRPr="008063FE">
        <w:rPr>
          <w:sz w:val="24"/>
          <w:szCs w:val="24"/>
        </w:rPr>
        <w:t xml:space="preserve"> a round trip propagation delay estimation error due to [Y]m of satellite position estimation error</w:t>
      </w:r>
    </w:p>
    <w:p w14:paraId="4569EF19" w14:textId="77777777" w:rsidR="008063FE" w:rsidRDefault="008063FE" w:rsidP="008063FE">
      <w:pPr>
        <w:pStyle w:val="ListParagraph"/>
        <w:spacing w:after="0" w:line="240" w:lineRule="auto"/>
        <w:ind w:firstLineChars="0" w:firstLine="0"/>
        <w:rPr>
          <w:sz w:val="24"/>
          <w:szCs w:val="24"/>
          <w:lang w:val="en-GB"/>
        </w:rPr>
      </w:pPr>
      <w:r>
        <w:rPr>
          <w:sz w:val="24"/>
          <w:szCs w:val="24"/>
          <w:lang w:val="en-GB"/>
        </w:rPr>
        <w:t xml:space="preserve">Based on our analysis in proposal 1, the following </w:t>
      </w:r>
      <w:proofErr w:type="spellStart"/>
      <w:r>
        <w:rPr>
          <w:sz w:val="24"/>
          <w:szCs w:val="24"/>
          <w:lang w:val="en-GB"/>
        </w:rPr>
        <w:t>Tp</w:t>
      </w:r>
      <w:proofErr w:type="spellEnd"/>
      <w:r>
        <w:rPr>
          <w:sz w:val="24"/>
          <w:szCs w:val="24"/>
          <w:lang w:val="en-GB"/>
        </w:rPr>
        <w:t xml:space="preserve"> values are observed:</w:t>
      </w:r>
    </w:p>
    <w:tbl>
      <w:tblPr>
        <w:tblStyle w:val="TableGrid"/>
        <w:tblW w:w="0" w:type="auto"/>
        <w:tblLook w:val="04A0" w:firstRow="1" w:lastRow="0" w:firstColumn="1" w:lastColumn="0" w:noHBand="0" w:noVBand="1"/>
      </w:tblPr>
      <w:tblGrid>
        <w:gridCol w:w="4814"/>
        <w:gridCol w:w="4815"/>
      </w:tblGrid>
      <w:tr w:rsidR="008063FE" w14:paraId="04719457" w14:textId="77777777" w:rsidTr="00856FDD">
        <w:tc>
          <w:tcPr>
            <w:tcW w:w="4814" w:type="dxa"/>
          </w:tcPr>
          <w:p w14:paraId="0C066029" w14:textId="77777777" w:rsidR="008063FE" w:rsidRPr="008B62B5" w:rsidRDefault="008063FE" w:rsidP="00856FDD">
            <w:pPr>
              <w:spacing w:after="0"/>
              <w:jc w:val="both"/>
              <w:rPr>
                <w:lang w:val="en-GB"/>
              </w:rPr>
            </w:pPr>
            <w:r w:rsidRPr="008B62B5">
              <w:rPr>
                <w:lang w:val="en-GB"/>
              </w:rPr>
              <w:t>Case</w:t>
            </w:r>
          </w:p>
        </w:tc>
        <w:tc>
          <w:tcPr>
            <w:tcW w:w="4815" w:type="dxa"/>
          </w:tcPr>
          <w:p w14:paraId="6BA3C2B5" w14:textId="77777777" w:rsidR="008063FE" w:rsidRDefault="008063FE" w:rsidP="00856FDD">
            <w:pPr>
              <w:spacing w:after="0"/>
              <w:jc w:val="both"/>
              <w:rPr>
                <w:vertAlign w:val="subscript"/>
                <w:lang w:val="en-GB"/>
              </w:rPr>
            </w:pPr>
            <w:proofErr w:type="spellStart"/>
            <w:r>
              <w:t>Tp</w:t>
            </w:r>
            <w:proofErr w:type="spellEnd"/>
            <w:r>
              <w:t xml:space="preserve"> = </w:t>
            </w:r>
            <w:proofErr w:type="spellStart"/>
            <w:proofErr w:type="gramStart"/>
            <w:r w:rsidRPr="00B74AAA">
              <w:t>Tp,ue</w:t>
            </w:r>
            <w:proofErr w:type="spellEnd"/>
            <w:proofErr w:type="gramEnd"/>
            <w:r w:rsidRPr="00F62C6B">
              <w:rPr>
                <w:lang w:val="en-GB"/>
              </w:rPr>
              <w:t xml:space="preserve"> + </w:t>
            </w:r>
            <w:proofErr w:type="spellStart"/>
            <w:r w:rsidRPr="00B74AAA">
              <w:t>Tp,sat</w:t>
            </w:r>
            <w:proofErr w:type="spellEnd"/>
          </w:p>
        </w:tc>
      </w:tr>
      <w:tr w:rsidR="008063FE" w14:paraId="1136D597" w14:textId="77777777" w:rsidTr="00856FDD">
        <w:tc>
          <w:tcPr>
            <w:tcW w:w="4814" w:type="dxa"/>
          </w:tcPr>
          <w:p w14:paraId="36057A0B" w14:textId="77777777" w:rsidR="008063FE" w:rsidRPr="008B62B5" w:rsidRDefault="008063FE" w:rsidP="00856FDD">
            <w:pPr>
              <w:spacing w:after="0"/>
              <w:jc w:val="both"/>
              <w:rPr>
                <w:lang w:val="en-GB"/>
              </w:rPr>
            </w:pPr>
            <w:r w:rsidRPr="008B62B5">
              <w:rPr>
                <w:lang w:val="en-GB"/>
              </w:rPr>
              <w:t>Case-2: Stationary UE for LEO</w:t>
            </w:r>
          </w:p>
        </w:tc>
        <w:tc>
          <w:tcPr>
            <w:tcW w:w="4815" w:type="dxa"/>
          </w:tcPr>
          <w:p w14:paraId="0B27CED7" w14:textId="77777777" w:rsidR="008063FE" w:rsidRPr="0080628C" w:rsidRDefault="008063FE" w:rsidP="00856FDD">
            <w:pPr>
              <w:spacing w:after="0"/>
              <w:jc w:val="both"/>
              <w:rPr>
                <w:lang w:val="en-GB"/>
              </w:rPr>
            </w:pPr>
            <w:r>
              <w:rPr>
                <w:lang w:val="en-GB"/>
              </w:rPr>
              <w:t>0.3us=9.22*64*Tc=9.2*Ts</w:t>
            </w:r>
          </w:p>
        </w:tc>
      </w:tr>
      <w:tr w:rsidR="008063FE" w14:paraId="6DE211A5" w14:textId="77777777" w:rsidTr="00856FDD">
        <w:tc>
          <w:tcPr>
            <w:tcW w:w="4814" w:type="dxa"/>
          </w:tcPr>
          <w:p w14:paraId="7FACC044" w14:textId="77777777" w:rsidR="008063FE" w:rsidRDefault="008063FE" w:rsidP="00856FDD">
            <w:pPr>
              <w:spacing w:after="0"/>
              <w:jc w:val="both"/>
              <w:rPr>
                <w:vertAlign w:val="subscript"/>
                <w:lang w:val="en-GB"/>
              </w:rPr>
            </w:pPr>
            <w:r w:rsidRPr="008B62B5">
              <w:rPr>
                <w:lang w:val="en-GB"/>
              </w:rPr>
              <w:t>Case-3: Mobile UE for GSO</w:t>
            </w:r>
          </w:p>
        </w:tc>
        <w:tc>
          <w:tcPr>
            <w:tcW w:w="4815" w:type="dxa"/>
          </w:tcPr>
          <w:p w14:paraId="2158FCAC" w14:textId="77777777" w:rsidR="008063FE" w:rsidRPr="0080628C" w:rsidRDefault="008063FE" w:rsidP="00856FDD">
            <w:pPr>
              <w:spacing w:after="0"/>
              <w:jc w:val="both"/>
              <w:rPr>
                <w:lang w:val="en-GB"/>
              </w:rPr>
            </w:pPr>
            <w:r>
              <w:rPr>
                <w:lang w:val="en-GB"/>
              </w:rPr>
              <w:t>0.3us=9.22*64*Tc=9.2*Ts</w:t>
            </w:r>
          </w:p>
        </w:tc>
      </w:tr>
    </w:tbl>
    <w:p w14:paraId="2E1E2C7D" w14:textId="77777777" w:rsidR="008063FE" w:rsidRDefault="008063FE" w:rsidP="0067516A">
      <w:pPr>
        <w:pStyle w:val="ListParagraph"/>
        <w:spacing w:after="20" w:line="240" w:lineRule="auto"/>
        <w:ind w:firstLineChars="0" w:firstLine="0"/>
        <w:jc w:val="both"/>
        <w:rPr>
          <w:sz w:val="24"/>
          <w:szCs w:val="24"/>
          <w:lang w:val="en-GB"/>
        </w:rPr>
      </w:pPr>
    </w:p>
    <w:p w14:paraId="36815DC4" w14:textId="78BE0DA3" w:rsidR="00947F9E" w:rsidRPr="00F62C6B" w:rsidRDefault="00B777FE" w:rsidP="0067516A">
      <w:pPr>
        <w:pStyle w:val="ListParagraph"/>
        <w:spacing w:after="20" w:line="240" w:lineRule="auto"/>
        <w:ind w:firstLineChars="0" w:firstLine="0"/>
        <w:jc w:val="both"/>
        <w:rPr>
          <w:sz w:val="24"/>
          <w:szCs w:val="24"/>
          <w:lang w:val="en-GB"/>
        </w:rPr>
      </w:pPr>
      <w:r w:rsidRPr="00B777FE">
        <w:rPr>
          <w:sz w:val="24"/>
          <w:szCs w:val="24"/>
          <w:lang w:val="en-GB"/>
        </w:rPr>
        <w:t xml:space="preserve">In our view, we still need to consider the </w:t>
      </w:r>
      <w:proofErr w:type="spellStart"/>
      <w:r w:rsidRPr="00B777FE">
        <w:rPr>
          <w:sz w:val="24"/>
          <w:szCs w:val="24"/>
          <w:lang w:val="en-GB"/>
        </w:rPr>
        <w:t>Te_NTN</w:t>
      </w:r>
      <w:proofErr w:type="spellEnd"/>
      <w:r w:rsidRPr="00B777FE">
        <w:rPr>
          <w:sz w:val="24"/>
          <w:szCs w:val="24"/>
          <w:lang w:val="en-GB"/>
        </w:rPr>
        <w:t xml:space="preserve"> requirement based </w:t>
      </w:r>
      <w:r w:rsidRPr="00B777FE">
        <w:rPr>
          <w:sz w:val="24"/>
          <w:szCs w:val="24"/>
          <w:lang w:val="en-US" w:eastAsia="zh-CN"/>
        </w:rPr>
        <w:t xml:space="preserve">on the legacy </w:t>
      </w:r>
      <w:proofErr w:type="spellStart"/>
      <w:r w:rsidRPr="00B777FE">
        <w:rPr>
          <w:sz w:val="24"/>
          <w:szCs w:val="24"/>
          <w:lang w:val="en-US" w:eastAsia="zh-CN"/>
        </w:rPr>
        <w:t>Te</w:t>
      </w:r>
      <w:proofErr w:type="spellEnd"/>
      <w:r w:rsidRPr="00B777FE">
        <w:rPr>
          <w:sz w:val="24"/>
          <w:szCs w:val="24"/>
          <w:lang w:val="en-US" w:eastAsia="zh-CN"/>
        </w:rPr>
        <w:t xml:space="preserve"> in TN</w:t>
      </w:r>
      <w:r>
        <w:rPr>
          <w:sz w:val="24"/>
          <w:szCs w:val="24"/>
          <w:lang w:val="en-GB" w:eastAsia="zh-CN"/>
        </w:rPr>
        <w:t xml:space="preserve">, since that was an agreed </w:t>
      </w:r>
      <w:proofErr w:type="gramStart"/>
      <w:r>
        <w:rPr>
          <w:sz w:val="24"/>
          <w:szCs w:val="24"/>
          <w:lang w:val="en-GB" w:eastAsia="zh-CN"/>
        </w:rPr>
        <w:t>methodology</w:t>
      </w:r>
      <w:proofErr w:type="gramEnd"/>
      <w:r>
        <w:rPr>
          <w:sz w:val="24"/>
          <w:szCs w:val="24"/>
          <w:lang w:val="en-GB" w:eastAsia="zh-CN"/>
        </w:rPr>
        <w:t xml:space="preserve"> we used to derive the Rel-17 NTN timing requirement. </w:t>
      </w:r>
      <w:r w:rsidR="0067516A">
        <w:rPr>
          <w:sz w:val="24"/>
          <w:szCs w:val="24"/>
          <w:lang w:val="en-GB" w:eastAsia="zh-CN"/>
        </w:rPr>
        <w:t xml:space="preserve">In the components for </w:t>
      </w:r>
      <w:proofErr w:type="spellStart"/>
      <w:r w:rsidR="0067516A">
        <w:rPr>
          <w:sz w:val="24"/>
          <w:szCs w:val="24"/>
          <w:lang w:val="en-GB" w:eastAsia="zh-CN"/>
        </w:rPr>
        <w:t>Tg</w:t>
      </w:r>
      <w:proofErr w:type="spellEnd"/>
      <w:r w:rsidR="0067516A">
        <w:rPr>
          <w:sz w:val="24"/>
          <w:szCs w:val="24"/>
          <w:lang w:val="en-GB" w:eastAsia="zh-CN"/>
        </w:rPr>
        <w:t xml:space="preserve"> calculation, some of them are double counted or related, like Tr and Ta. We still think it’s more reasonable to check the difference between FR2 TN and Ka band NTN, and then we can decide the NTN timing requirement in Ka band. </w:t>
      </w:r>
      <w:r w:rsidR="00947F9E" w:rsidRPr="00F62C6B">
        <w:rPr>
          <w:rFonts w:hint="eastAsia"/>
          <w:sz w:val="24"/>
          <w:szCs w:val="24"/>
          <w:lang w:val="en-GB" w:eastAsia="zh-CN"/>
        </w:rPr>
        <w:t>F</w:t>
      </w:r>
      <w:r w:rsidR="00947F9E" w:rsidRPr="00F62C6B">
        <w:rPr>
          <w:sz w:val="24"/>
          <w:szCs w:val="24"/>
          <w:lang w:val="en-GB"/>
        </w:rPr>
        <w:t>or initial transmit timing requirement in NTN (</w:t>
      </w:r>
      <w:proofErr w:type="spellStart"/>
      <w:r w:rsidR="00947F9E" w:rsidRPr="00F62C6B">
        <w:rPr>
          <w:sz w:val="24"/>
          <w:szCs w:val="24"/>
          <w:lang w:val="en-GB"/>
        </w:rPr>
        <w:t>T</w:t>
      </w:r>
      <w:r w:rsidR="00947F9E" w:rsidRPr="00F62C6B">
        <w:rPr>
          <w:sz w:val="24"/>
          <w:szCs w:val="24"/>
          <w:vertAlign w:val="subscript"/>
          <w:lang w:val="en-GB"/>
        </w:rPr>
        <w:t>e_NTN</w:t>
      </w:r>
      <w:proofErr w:type="spellEnd"/>
      <w:r w:rsidR="00947F9E" w:rsidRPr="00F62C6B">
        <w:rPr>
          <w:sz w:val="24"/>
          <w:szCs w:val="24"/>
          <w:lang w:val="en-GB"/>
        </w:rPr>
        <w:t xml:space="preserve">), </w:t>
      </w:r>
      <w:proofErr w:type="spellStart"/>
      <w:r w:rsidR="00947F9E" w:rsidRPr="00F62C6B">
        <w:rPr>
          <w:sz w:val="24"/>
          <w:szCs w:val="24"/>
          <w:lang w:val="en-GB"/>
        </w:rPr>
        <w:t>T</w:t>
      </w:r>
      <w:r w:rsidR="00947F9E" w:rsidRPr="00F62C6B">
        <w:rPr>
          <w:sz w:val="24"/>
          <w:szCs w:val="24"/>
          <w:vertAlign w:val="subscript"/>
          <w:lang w:val="en-GB"/>
        </w:rPr>
        <w:t>e_NTN</w:t>
      </w:r>
      <w:proofErr w:type="spellEnd"/>
      <w:r w:rsidR="00947F9E" w:rsidRPr="00F62C6B">
        <w:rPr>
          <w:sz w:val="24"/>
          <w:szCs w:val="24"/>
          <w:lang w:val="en-GB"/>
        </w:rPr>
        <w:t xml:space="preserve"> = </w:t>
      </w:r>
      <w:proofErr w:type="spellStart"/>
      <w:r w:rsidR="00947F9E" w:rsidRPr="00F62C6B">
        <w:rPr>
          <w:sz w:val="24"/>
          <w:szCs w:val="24"/>
          <w:lang w:val="en-GB"/>
        </w:rPr>
        <w:t>T</w:t>
      </w:r>
      <w:r w:rsidR="00947F9E" w:rsidRPr="00F62C6B">
        <w:rPr>
          <w:sz w:val="24"/>
          <w:szCs w:val="24"/>
          <w:vertAlign w:val="subscript"/>
          <w:lang w:val="en-GB"/>
        </w:rPr>
        <w:t>e</w:t>
      </w:r>
      <w:proofErr w:type="spellEnd"/>
      <w:r w:rsidR="00947F9E" w:rsidRPr="00F62C6B">
        <w:rPr>
          <w:sz w:val="24"/>
          <w:szCs w:val="24"/>
          <w:lang w:val="en-GB"/>
        </w:rPr>
        <w:t xml:space="preserve"> + </w:t>
      </w:r>
      <w:r>
        <w:rPr>
          <w:sz w:val="24"/>
          <w:szCs w:val="24"/>
          <w:lang w:val="en-GB"/>
        </w:rPr>
        <w:t>T</w:t>
      </w:r>
      <w:r w:rsidRPr="00B777FE">
        <w:rPr>
          <w:sz w:val="24"/>
          <w:szCs w:val="24"/>
          <w:vertAlign w:val="subscript"/>
          <w:lang w:val="en-GB"/>
        </w:rPr>
        <w:t>p</w:t>
      </w:r>
      <w:r>
        <w:rPr>
          <w:sz w:val="24"/>
          <w:szCs w:val="24"/>
          <w:lang w:val="en-GB"/>
        </w:rPr>
        <w:t>.</w:t>
      </w:r>
    </w:p>
    <w:p w14:paraId="1BF70378" w14:textId="77777777" w:rsidR="00947F9E" w:rsidRPr="00F62C6B" w:rsidRDefault="00947F9E" w:rsidP="00F62C6B">
      <w:pPr>
        <w:pStyle w:val="ListParagraph"/>
        <w:numPr>
          <w:ilvl w:val="0"/>
          <w:numId w:val="48"/>
        </w:numPr>
        <w:spacing w:after="0" w:line="240" w:lineRule="auto"/>
        <w:ind w:firstLineChars="0"/>
        <w:jc w:val="both"/>
        <w:rPr>
          <w:sz w:val="24"/>
          <w:szCs w:val="24"/>
          <w:lang w:val="en-GB"/>
        </w:rPr>
      </w:pPr>
      <w:proofErr w:type="spellStart"/>
      <w:r w:rsidRPr="00F62C6B">
        <w:rPr>
          <w:sz w:val="24"/>
          <w:szCs w:val="24"/>
          <w:lang w:val="en-GB"/>
        </w:rPr>
        <w:lastRenderedPageBreak/>
        <w:t>Te</w:t>
      </w:r>
      <w:proofErr w:type="spellEnd"/>
      <w:r w:rsidRPr="00F62C6B">
        <w:rPr>
          <w:sz w:val="24"/>
          <w:szCs w:val="24"/>
          <w:lang w:val="en-GB"/>
        </w:rPr>
        <w:t xml:space="preserve"> is the legacy timing </w:t>
      </w:r>
      <w:proofErr w:type="gramStart"/>
      <w:r w:rsidRPr="00F62C6B">
        <w:rPr>
          <w:sz w:val="24"/>
          <w:szCs w:val="24"/>
          <w:lang w:val="en-GB"/>
        </w:rPr>
        <w:t>error</w:t>
      </w:r>
      <w:proofErr w:type="gramEnd"/>
    </w:p>
    <w:p w14:paraId="6D945B88" w14:textId="77777777" w:rsidR="008B62B5" w:rsidRDefault="008B62B5" w:rsidP="00226190">
      <w:pPr>
        <w:jc w:val="both"/>
        <w:rPr>
          <w:vertAlign w:val="subscript"/>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19"/>
        <w:gridCol w:w="1171"/>
        <w:gridCol w:w="1078"/>
        <w:gridCol w:w="2249"/>
        <w:gridCol w:w="2885"/>
      </w:tblGrid>
      <w:tr w:rsidR="00F02FC3" w14:paraId="7EC32771" w14:textId="538598D0" w:rsidTr="008369BC">
        <w:trPr>
          <w:cantSplit/>
          <w:jc w:val="center"/>
        </w:trPr>
        <w:tc>
          <w:tcPr>
            <w:tcW w:w="585" w:type="pct"/>
            <w:tcBorders>
              <w:top w:val="single" w:sz="4" w:space="0" w:color="auto"/>
              <w:left w:val="single" w:sz="4" w:space="0" w:color="auto"/>
              <w:bottom w:val="single" w:sz="4" w:space="0" w:color="auto"/>
              <w:right w:val="single" w:sz="4" w:space="0" w:color="auto"/>
            </w:tcBorders>
            <w:vAlign w:val="center"/>
            <w:hideMark/>
          </w:tcPr>
          <w:p w14:paraId="15A4F219" w14:textId="77777777" w:rsidR="00F02FC3" w:rsidRDefault="00F02FC3" w:rsidP="008369BC">
            <w:pPr>
              <w:pStyle w:val="TAH"/>
              <w:spacing w:after="0"/>
              <w:rPr>
                <w:szCs w:val="18"/>
              </w:rPr>
            </w:pPr>
            <w:r>
              <w:t>Frequency Range</w:t>
            </w:r>
          </w:p>
        </w:tc>
        <w:tc>
          <w:tcPr>
            <w:tcW w:w="581" w:type="pct"/>
            <w:tcBorders>
              <w:top w:val="single" w:sz="4" w:space="0" w:color="auto"/>
              <w:left w:val="nil"/>
              <w:bottom w:val="single" w:sz="4" w:space="0" w:color="auto"/>
              <w:right w:val="single" w:sz="4" w:space="0" w:color="auto"/>
            </w:tcBorders>
            <w:vAlign w:val="center"/>
            <w:hideMark/>
          </w:tcPr>
          <w:p w14:paraId="73E86A57" w14:textId="77777777" w:rsidR="00F02FC3" w:rsidRDefault="00F02FC3" w:rsidP="008369BC">
            <w:pPr>
              <w:pStyle w:val="TAH"/>
              <w:spacing w:after="0"/>
            </w:pPr>
            <w:r>
              <w:t>SCS of SSB signals (kHz)</w:t>
            </w:r>
          </w:p>
        </w:tc>
        <w:tc>
          <w:tcPr>
            <w:tcW w:w="608" w:type="pct"/>
            <w:tcBorders>
              <w:top w:val="single" w:sz="4" w:space="0" w:color="auto"/>
              <w:left w:val="nil"/>
              <w:bottom w:val="single" w:sz="4" w:space="0" w:color="auto"/>
              <w:right w:val="single" w:sz="4" w:space="0" w:color="auto"/>
            </w:tcBorders>
            <w:vAlign w:val="center"/>
            <w:hideMark/>
          </w:tcPr>
          <w:p w14:paraId="364493D3" w14:textId="77777777" w:rsidR="00F02FC3" w:rsidRDefault="00F02FC3" w:rsidP="008369BC">
            <w:pPr>
              <w:pStyle w:val="TAH"/>
              <w:spacing w:after="0"/>
            </w:pPr>
            <w:r>
              <w:t>SCS of uplink signals (kHz)</w:t>
            </w:r>
          </w:p>
        </w:tc>
        <w:tc>
          <w:tcPr>
            <w:tcW w:w="560" w:type="pct"/>
            <w:tcBorders>
              <w:top w:val="single" w:sz="4" w:space="0" w:color="auto"/>
              <w:left w:val="nil"/>
              <w:bottom w:val="single" w:sz="4" w:space="0" w:color="auto"/>
              <w:right w:val="single" w:sz="4" w:space="0" w:color="auto"/>
            </w:tcBorders>
            <w:vAlign w:val="center"/>
            <w:hideMark/>
          </w:tcPr>
          <w:p w14:paraId="7FE7E82E" w14:textId="4C159B7D" w:rsidR="00F02FC3" w:rsidRPr="00F62C6B" w:rsidRDefault="00F02FC3" w:rsidP="008369BC">
            <w:pPr>
              <w:pStyle w:val="TAH"/>
              <w:spacing w:after="0"/>
            </w:pPr>
            <w:proofErr w:type="spellStart"/>
            <w:r>
              <w:t>T</w:t>
            </w:r>
            <w:r>
              <w:rPr>
                <w:vertAlign w:val="subscript"/>
              </w:rPr>
              <w:t>e</w:t>
            </w:r>
            <w:proofErr w:type="spellEnd"/>
            <w:r>
              <w:t xml:space="preserve"> for TN</w:t>
            </w:r>
          </w:p>
        </w:tc>
        <w:tc>
          <w:tcPr>
            <w:tcW w:w="1168" w:type="pct"/>
            <w:tcBorders>
              <w:top w:val="single" w:sz="4" w:space="0" w:color="auto"/>
              <w:left w:val="nil"/>
              <w:bottom w:val="single" w:sz="4" w:space="0" w:color="auto"/>
              <w:right w:val="single" w:sz="4" w:space="0" w:color="auto"/>
            </w:tcBorders>
            <w:vAlign w:val="center"/>
          </w:tcPr>
          <w:p w14:paraId="1658ABF8" w14:textId="06E8D27E" w:rsidR="00F02FC3" w:rsidRDefault="00F02FC3" w:rsidP="008369BC">
            <w:pPr>
              <w:pStyle w:val="TAH"/>
              <w:spacing w:after="0"/>
            </w:pPr>
            <w:proofErr w:type="spellStart"/>
            <w:r w:rsidRPr="00F02FC3">
              <w:t>T</w:t>
            </w:r>
            <w:r w:rsidRPr="00F02FC3">
              <w:rPr>
                <w:vertAlign w:val="subscript"/>
              </w:rPr>
              <w:t>e_NTN</w:t>
            </w:r>
            <w:proofErr w:type="spellEnd"/>
          </w:p>
        </w:tc>
        <w:tc>
          <w:tcPr>
            <w:tcW w:w="1498" w:type="pct"/>
            <w:tcBorders>
              <w:top w:val="single" w:sz="4" w:space="0" w:color="auto"/>
              <w:left w:val="nil"/>
              <w:bottom w:val="single" w:sz="4" w:space="0" w:color="auto"/>
              <w:right w:val="single" w:sz="4" w:space="0" w:color="auto"/>
            </w:tcBorders>
          </w:tcPr>
          <w:p w14:paraId="47443CBA" w14:textId="1AC8309B" w:rsidR="00F02FC3" w:rsidRPr="00F02FC3" w:rsidRDefault="00F02FC3" w:rsidP="008369BC">
            <w:pPr>
              <w:pStyle w:val="TAH"/>
              <w:spacing w:after="0"/>
            </w:pPr>
            <w:proofErr w:type="spellStart"/>
            <w:r w:rsidRPr="00F02FC3">
              <w:t>T</w:t>
            </w:r>
            <w:r w:rsidRPr="00F02FC3">
              <w:rPr>
                <w:vertAlign w:val="subscript"/>
              </w:rPr>
              <w:t>e_NTN</w:t>
            </w:r>
            <w:proofErr w:type="spellEnd"/>
            <w:r>
              <w:t xml:space="preserve"> </w:t>
            </w:r>
            <w:r w:rsidR="00775528">
              <w:t>in terms of p</w:t>
            </w:r>
            <w:r>
              <w:t>ercentage of CP length</w:t>
            </w:r>
          </w:p>
        </w:tc>
      </w:tr>
      <w:tr w:rsidR="00F02FC3" w14:paraId="401F0B1A" w14:textId="5CB114C9" w:rsidTr="008369BC">
        <w:trPr>
          <w:cantSplit/>
          <w:jc w:val="center"/>
        </w:trPr>
        <w:tc>
          <w:tcPr>
            <w:tcW w:w="585" w:type="pct"/>
            <w:tcBorders>
              <w:top w:val="nil"/>
              <w:left w:val="single" w:sz="4" w:space="0" w:color="auto"/>
              <w:bottom w:val="nil"/>
              <w:right w:val="single" w:sz="4" w:space="0" w:color="auto"/>
            </w:tcBorders>
            <w:vAlign w:val="center"/>
          </w:tcPr>
          <w:p w14:paraId="57389B9A" w14:textId="36E9EA9F" w:rsidR="00F02FC3" w:rsidRDefault="00F174FA" w:rsidP="008369BC">
            <w:pPr>
              <w:pStyle w:val="TAC"/>
              <w:spacing w:after="0"/>
            </w:pPr>
            <w:r>
              <w:t>FR2-1</w:t>
            </w:r>
          </w:p>
        </w:tc>
        <w:tc>
          <w:tcPr>
            <w:tcW w:w="581" w:type="pct"/>
            <w:tcBorders>
              <w:top w:val="nil"/>
              <w:left w:val="nil"/>
              <w:bottom w:val="single" w:sz="4" w:space="0" w:color="auto"/>
              <w:right w:val="single" w:sz="4" w:space="0" w:color="auto"/>
            </w:tcBorders>
            <w:vAlign w:val="center"/>
          </w:tcPr>
          <w:p w14:paraId="31B6573C" w14:textId="2B77140A" w:rsidR="00F02FC3" w:rsidRDefault="00F174FA" w:rsidP="008369BC">
            <w:pPr>
              <w:pStyle w:val="TAC"/>
              <w:spacing w:after="0"/>
            </w:pPr>
            <w:r>
              <w:t>120</w:t>
            </w:r>
          </w:p>
        </w:tc>
        <w:tc>
          <w:tcPr>
            <w:tcW w:w="608" w:type="pct"/>
            <w:tcBorders>
              <w:top w:val="single" w:sz="4" w:space="0" w:color="auto"/>
              <w:left w:val="nil"/>
              <w:bottom w:val="single" w:sz="4" w:space="0" w:color="auto"/>
              <w:right w:val="single" w:sz="4" w:space="0" w:color="auto"/>
            </w:tcBorders>
            <w:hideMark/>
          </w:tcPr>
          <w:p w14:paraId="3B3D6F0A" w14:textId="77777777" w:rsidR="00F02FC3" w:rsidRDefault="00F02FC3" w:rsidP="008369BC">
            <w:pPr>
              <w:pStyle w:val="TAC"/>
              <w:spacing w:after="0"/>
            </w:pPr>
            <w:r>
              <w:t>120</w:t>
            </w:r>
          </w:p>
        </w:tc>
        <w:tc>
          <w:tcPr>
            <w:tcW w:w="560" w:type="pct"/>
            <w:tcBorders>
              <w:top w:val="single" w:sz="4" w:space="0" w:color="auto"/>
              <w:left w:val="nil"/>
              <w:bottom w:val="single" w:sz="4" w:space="0" w:color="auto"/>
              <w:right w:val="single" w:sz="4" w:space="0" w:color="auto"/>
            </w:tcBorders>
            <w:hideMark/>
          </w:tcPr>
          <w:p w14:paraId="3ED9AF18" w14:textId="77777777" w:rsidR="00F02FC3" w:rsidRDefault="00F02FC3" w:rsidP="008369BC">
            <w:pPr>
              <w:pStyle w:val="TAC"/>
              <w:spacing w:after="0"/>
            </w:pPr>
            <w:r>
              <w:t>3.5*64*T</w:t>
            </w:r>
            <w:r>
              <w:rPr>
                <w:vertAlign w:val="subscript"/>
              </w:rPr>
              <w:t>c</w:t>
            </w:r>
          </w:p>
        </w:tc>
        <w:tc>
          <w:tcPr>
            <w:tcW w:w="1168" w:type="pct"/>
            <w:tcBorders>
              <w:top w:val="single" w:sz="4" w:space="0" w:color="auto"/>
              <w:left w:val="nil"/>
              <w:bottom w:val="single" w:sz="4" w:space="0" w:color="auto"/>
              <w:right w:val="single" w:sz="4" w:space="0" w:color="auto"/>
            </w:tcBorders>
          </w:tcPr>
          <w:p w14:paraId="5B7ECE07" w14:textId="41EAE2E5" w:rsidR="00F02FC3" w:rsidRDefault="0080628C" w:rsidP="008369BC">
            <w:pPr>
              <w:pStyle w:val="TAC"/>
              <w:spacing w:after="0"/>
            </w:pPr>
            <w:r w:rsidRPr="0080628C">
              <w:t>Case 2/3</w:t>
            </w:r>
            <w:r>
              <w:t>: 12.72*64*T</w:t>
            </w:r>
            <w:r>
              <w:rPr>
                <w:vertAlign w:val="subscript"/>
              </w:rPr>
              <w:t>c</w:t>
            </w:r>
          </w:p>
        </w:tc>
        <w:tc>
          <w:tcPr>
            <w:tcW w:w="1498" w:type="pct"/>
            <w:tcBorders>
              <w:top w:val="single" w:sz="4" w:space="0" w:color="auto"/>
              <w:left w:val="nil"/>
              <w:bottom w:val="single" w:sz="4" w:space="0" w:color="auto"/>
              <w:right w:val="single" w:sz="4" w:space="0" w:color="auto"/>
            </w:tcBorders>
            <w:shd w:val="clear" w:color="auto" w:fill="FFFF00"/>
          </w:tcPr>
          <w:p w14:paraId="10774E78" w14:textId="4A6E3C56" w:rsidR="0080628C" w:rsidRDefault="0080628C" w:rsidP="008369BC">
            <w:pPr>
              <w:pStyle w:val="TAC"/>
              <w:spacing w:after="0"/>
            </w:pPr>
            <w:r>
              <w:t xml:space="preserve">Case 2/3: </w:t>
            </w:r>
            <w:r w:rsidR="008369BC">
              <w:t>70.18</w:t>
            </w:r>
            <w:r>
              <w:t>% of CP length</w:t>
            </w:r>
          </w:p>
        </w:tc>
      </w:tr>
      <w:tr w:rsidR="00F02FC3" w14:paraId="1045795D" w14:textId="506EEB8C" w:rsidTr="008369BC">
        <w:trPr>
          <w:cantSplit/>
          <w:jc w:val="center"/>
        </w:trPr>
        <w:tc>
          <w:tcPr>
            <w:tcW w:w="585" w:type="pct"/>
            <w:tcBorders>
              <w:top w:val="nil"/>
              <w:left w:val="single" w:sz="4" w:space="0" w:color="auto"/>
              <w:bottom w:val="single" w:sz="4" w:space="0" w:color="auto"/>
              <w:right w:val="single" w:sz="4" w:space="0" w:color="auto"/>
            </w:tcBorders>
          </w:tcPr>
          <w:p w14:paraId="4D1A4B13" w14:textId="77777777" w:rsidR="00F02FC3" w:rsidRDefault="00F02FC3" w:rsidP="008369BC">
            <w:pPr>
              <w:pStyle w:val="TAC"/>
              <w:spacing w:after="0"/>
            </w:pPr>
          </w:p>
        </w:tc>
        <w:tc>
          <w:tcPr>
            <w:tcW w:w="581" w:type="pct"/>
            <w:tcBorders>
              <w:top w:val="nil"/>
              <w:left w:val="nil"/>
              <w:bottom w:val="single" w:sz="4" w:space="0" w:color="auto"/>
              <w:right w:val="single" w:sz="4" w:space="0" w:color="auto"/>
            </w:tcBorders>
          </w:tcPr>
          <w:p w14:paraId="04BEEDB3" w14:textId="61E97D15" w:rsidR="00F02FC3" w:rsidRDefault="00F174FA" w:rsidP="008369BC">
            <w:pPr>
              <w:pStyle w:val="TAC"/>
              <w:spacing w:after="0"/>
            </w:pPr>
            <w:r>
              <w:t>240</w:t>
            </w:r>
          </w:p>
        </w:tc>
        <w:tc>
          <w:tcPr>
            <w:tcW w:w="608" w:type="pct"/>
            <w:tcBorders>
              <w:top w:val="single" w:sz="4" w:space="0" w:color="auto"/>
              <w:left w:val="nil"/>
              <w:bottom w:val="single" w:sz="4" w:space="0" w:color="auto"/>
              <w:right w:val="single" w:sz="4" w:space="0" w:color="auto"/>
            </w:tcBorders>
            <w:hideMark/>
          </w:tcPr>
          <w:p w14:paraId="2BB19EAE" w14:textId="77777777" w:rsidR="00F02FC3" w:rsidRDefault="00F02FC3" w:rsidP="008369BC">
            <w:pPr>
              <w:pStyle w:val="TAC"/>
              <w:spacing w:after="0"/>
            </w:pPr>
            <w:r>
              <w:t>120</w:t>
            </w:r>
          </w:p>
        </w:tc>
        <w:tc>
          <w:tcPr>
            <w:tcW w:w="560" w:type="pct"/>
            <w:tcBorders>
              <w:top w:val="single" w:sz="4" w:space="0" w:color="auto"/>
              <w:left w:val="nil"/>
              <w:bottom w:val="single" w:sz="4" w:space="0" w:color="auto"/>
              <w:right w:val="single" w:sz="4" w:space="0" w:color="auto"/>
            </w:tcBorders>
            <w:hideMark/>
          </w:tcPr>
          <w:p w14:paraId="58214AF5" w14:textId="77777777" w:rsidR="00F02FC3" w:rsidRDefault="00F02FC3" w:rsidP="008369BC">
            <w:pPr>
              <w:pStyle w:val="TAC"/>
              <w:spacing w:after="0"/>
            </w:pPr>
            <w:r>
              <w:t>3*64*T</w:t>
            </w:r>
            <w:r>
              <w:rPr>
                <w:vertAlign w:val="subscript"/>
              </w:rPr>
              <w:t>c</w:t>
            </w:r>
          </w:p>
        </w:tc>
        <w:tc>
          <w:tcPr>
            <w:tcW w:w="1168" w:type="pct"/>
            <w:tcBorders>
              <w:top w:val="single" w:sz="4" w:space="0" w:color="auto"/>
              <w:left w:val="nil"/>
              <w:bottom w:val="single" w:sz="4" w:space="0" w:color="auto"/>
              <w:right w:val="single" w:sz="4" w:space="0" w:color="auto"/>
            </w:tcBorders>
          </w:tcPr>
          <w:p w14:paraId="74A15D37" w14:textId="02769447" w:rsidR="00F02FC3" w:rsidRDefault="0080628C" w:rsidP="008369BC">
            <w:pPr>
              <w:pStyle w:val="TAC"/>
              <w:spacing w:after="0"/>
            </w:pPr>
            <w:r w:rsidRPr="0080628C">
              <w:t>Case 2/3</w:t>
            </w:r>
            <w:r>
              <w:t>: 12.22*64*T</w:t>
            </w:r>
            <w:r>
              <w:rPr>
                <w:vertAlign w:val="subscript"/>
              </w:rPr>
              <w:t>c</w:t>
            </w:r>
          </w:p>
        </w:tc>
        <w:tc>
          <w:tcPr>
            <w:tcW w:w="1498" w:type="pct"/>
            <w:tcBorders>
              <w:top w:val="single" w:sz="4" w:space="0" w:color="auto"/>
              <w:left w:val="nil"/>
              <w:bottom w:val="single" w:sz="4" w:space="0" w:color="auto"/>
              <w:right w:val="single" w:sz="4" w:space="0" w:color="auto"/>
            </w:tcBorders>
            <w:shd w:val="clear" w:color="auto" w:fill="FFFF00"/>
          </w:tcPr>
          <w:p w14:paraId="4A4F3605" w14:textId="7F4EE6AF" w:rsidR="008369BC" w:rsidRDefault="008369BC" w:rsidP="008369BC">
            <w:pPr>
              <w:pStyle w:val="TAC"/>
              <w:spacing w:after="0"/>
            </w:pPr>
            <w:r>
              <w:t>Case 2/3: 67.42% of CP length</w:t>
            </w:r>
          </w:p>
        </w:tc>
      </w:tr>
    </w:tbl>
    <w:p w14:paraId="4ACC83F1" w14:textId="77777777" w:rsidR="00F174FA" w:rsidRDefault="00F174FA" w:rsidP="00775528">
      <w:pPr>
        <w:jc w:val="both"/>
        <w:rPr>
          <w:color w:val="000000"/>
        </w:rPr>
      </w:pPr>
    </w:p>
    <w:p w14:paraId="4C155A78" w14:textId="7C222FBF" w:rsidR="008063FE" w:rsidRDefault="00F174FA" w:rsidP="00775528">
      <w:pPr>
        <w:jc w:val="both"/>
        <w:rPr>
          <w:color w:val="000000"/>
        </w:rPr>
      </w:pPr>
      <w:r>
        <w:rPr>
          <w:color w:val="000000"/>
        </w:rPr>
        <w:t xml:space="preserve">In last meeting, the case 2 </w:t>
      </w:r>
      <w:proofErr w:type="spellStart"/>
      <w:r>
        <w:rPr>
          <w:color w:val="000000"/>
        </w:rPr>
        <w:t>Te</w:t>
      </w:r>
      <w:proofErr w:type="spellEnd"/>
      <w:r>
        <w:rPr>
          <w:color w:val="000000"/>
        </w:rPr>
        <w:t xml:space="preserve"> requirement for UL SCS=120kHz has been concluded as 7.5Ts, however,</w:t>
      </w:r>
      <w:r w:rsidRPr="00F174FA">
        <w:t xml:space="preserve"> </w:t>
      </w:r>
      <w:r w:rsidRPr="00F174FA">
        <w:rPr>
          <w:color w:val="000000"/>
        </w:rPr>
        <w:t>the applicable side condition on case 2</w:t>
      </w:r>
      <w:r>
        <w:rPr>
          <w:color w:val="000000"/>
        </w:rPr>
        <w:t xml:space="preserve"> is still FFS. In our view, the only possible enhancement of the timing accuracy for case 2 can be from the</w:t>
      </w:r>
      <w:r w:rsidRPr="00F174FA">
        <w:t xml:space="preserve"> </w:t>
      </w:r>
      <w:r w:rsidRPr="00F174FA">
        <w:rPr>
          <w:color w:val="000000"/>
        </w:rPr>
        <w:t>satellite position error</w:t>
      </w:r>
      <w:r>
        <w:rPr>
          <w:color w:val="000000"/>
        </w:rPr>
        <w:t xml:space="preserve">, </w:t>
      </w:r>
      <w:r w:rsidR="008063FE">
        <w:rPr>
          <w:color w:val="000000"/>
        </w:rPr>
        <w:t>as</w:t>
      </w:r>
      <w:r>
        <w:rPr>
          <w:color w:val="000000"/>
        </w:rPr>
        <w:t xml:space="preserve"> propagator model estimation heavily rely on the time during for the estimation. </w:t>
      </w:r>
    </w:p>
    <w:p w14:paraId="31ED5EED" w14:textId="77777777" w:rsidR="008063FE" w:rsidRDefault="008063FE" w:rsidP="00775528">
      <w:pPr>
        <w:jc w:val="both"/>
        <w:rPr>
          <w:color w:val="000000"/>
        </w:rPr>
      </w:pPr>
    </w:p>
    <w:p w14:paraId="34B405AF" w14:textId="24E576C1" w:rsidR="00F174FA" w:rsidRDefault="00F174FA" w:rsidP="00775528">
      <w:pPr>
        <w:jc w:val="both"/>
        <w:rPr>
          <w:color w:val="000000"/>
        </w:rPr>
      </w:pPr>
      <w:r>
        <w:rPr>
          <w:color w:val="000000"/>
        </w:rPr>
        <w:t xml:space="preserve">The UE positioning error is 15m (i.e., </w:t>
      </w:r>
      <w:r w:rsidR="008063FE">
        <w:rPr>
          <w:color w:val="000000"/>
        </w:rPr>
        <w:t>3Ts for round trip</w:t>
      </w:r>
      <w:r>
        <w:rPr>
          <w:color w:val="000000"/>
        </w:rPr>
        <w:t xml:space="preserve">) based on above analysis, and the legacy </w:t>
      </w:r>
      <w:proofErr w:type="spellStart"/>
      <w:r>
        <w:rPr>
          <w:color w:val="000000"/>
        </w:rPr>
        <w:t>Te</w:t>
      </w:r>
      <w:proofErr w:type="spellEnd"/>
      <w:r>
        <w:rPr>
          <w:color w:val="000000"/>
        </w:rPr>
        <w:t xml:space="preserve"> in TN is 3.5Ts/3Ts for 120/240kHz SSB SCS</w:t>
      </w:r>
      <w:r w:rsidR="008063FE">
        <w:rPr>
          <w:color w:val="000000"/>
        </w:rPr>
        <w:t xml:space="preserve">. In order to achieve the 7.5Ts accuracy, the </w:t>
      </w:r>
      <w:r w:rsidR="008063FE" w:rsidRPr="00F174FA">
        <w:rPr>
          <w:color w:val="000000"/>
        </w:rPr>
        <w:t>satellite position error</w:t>
      </w:r>
      <w:r w:rsidR="008063FE">
        <w:rPr>
          <w:color w:val="000000"/>
        </w:rPr>
        <w:t xml:space="preserve"> can be up to 0.5Ts (i.e., around </w:t>
      </w:r>
      <w:r w:rsidR="009B027A">
        <w:rPr>
          <w:color w:val="000000"/>
        </w:rPr>
        <w:t xml:space="preserve">5m; and </w:t>
      </w:r>
      <w:proofErr w:type="gramStart"/>
      <w:r w:rsidR="009B027A">
        <w:rPr>
          <w:color w:val="000000"/>
        </w:rPr>
        <w:t>round trip</w:t>
      </w:r>
      <w:proofErr w:type="gramEnd"/>
      <w:r w:rsidR="009B027A">
        <w:rPr>
          <w:color w:val="000000"/>
        </w:rPr>
        <w:t xml:space="preserve"> error is 1Ts</w:t>
      </w:r>
      <w:r w:rsidR="008063FE">
        <w:rPr>
          <w:color w:val="000000"/>
        </w:rPr>
        <w:t>)</w:t>
      </w:r>
      <w:r w:rsidR="009B027A">
        <w:rPr>
          <w:color w:val="000000"/>
        </w:rPr>
        <w:t>. According to the analysis in [2] (duplicate the figure below from [2]), the prediction time could be 5 sec to achieve 5 meter</w:t>
      </w:r>
      <w:r w:rsidR="002072A9">
        <w:rPr>
          <w:color w:val="000000"/>
        </w:rPr>
        <w:t>s</w:t>
      </w:r>
      <w:r w:rsidR="009B027A">
        <w:rPr>
          <w:color w:val="000000"/>
        </w:rPr>
        <w:t xml:space="preserve"> satellite position prediction error. </w:t>
      </w:r>
    </w:p>
    <w:p w14:paraId="08D27C40" w14:textId="77777777" w:rsidR="002072A9" w:rsidRDefault="009B027A" w:rsidP="002072A9">
      <w:pPr>
        <w:keepNext/>
        <w:jc w:val="center"/>
      </w:pPr>
      <w:r>
        <w:rPr>
          <w:rFonts w:ascii="Arial" w:hAnsi="Arial" w:cs="Arial"/>
          <w:noProof/>
          <w:lang w:eastAsia="ja-JP"/>
        </w:rPr>
        <w:drawing>
          <wp:inline distT="0" distB="0" distL="0" distR="0" wp14:anchorId="2674CAE0" wp14:editId="696D3C69">
            <wp:extent cx="3600000" cy="2700000"/>
            <wp:effectExtent l="0" t="0" r="635" b="571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642C5464" w14:textId="24CD2805" w:rsidR="009B027A" w:rsidRDefault="002072A9" w:rsidP="002072A9">
      <w:pPr>
        <w:pStyle w:val="Caption"/>
        <w:jc w:val="center"/>
        <w:rPr>
          <w:color w:val="000000"/>
        </w:rPr>
      </w:pPr>
      <w:r>
        <w:t xml:space="preserve">Figure </w:t>
      </w:r>
      <w:r>
        <w:fldChar w:fldCharType="begin"/>
      </w:r>
      <w:r>
        <w:instrText xml:space="preserve"> SEQ Figure \* ARABIC </w:instrText>
      </w:r>
      <w:r>
        <w:fldChar w:fldCharType="separate"/>
      </w:r>
      <w:r>
        <w:rPr>
          <w:noProof/>
        </w:rPr>
        <w:t>1</w:t>
      </w:r>
      <w:r>
        <w:fldChar w:fldCharType="end"/>
      </w:r>
      <w:r>
        <w:t>. the simulation result of prediction error vs prediction time in RAN1 [2]</w:t>
      </w:r>
    </w:p>
    <w:p w14:paraId="45A010EB" w14:textId="420586CB" w:rsidR="00F174FA" w:rsidRDefault="002072A9" w:rsidP="00775528">
      <w:pPr>
        <w:jc w:val="both"/>
        <w:rPr>
          <w:color w:val="000000"/>
        </w:rPr>
      </w:pPr>
      <w:r>
        <w:rPr>
          <w:color w:val="000000"/>
        </w:rPr>
        <w:t xml:space="preserve">In our view, if the ephemeris information can be refreshed in every 5 seconds, the case 2 can also achieve 7.5 Ts for </w:t>
      </w:r>
      <w:proofErr w:type="spellStart"/>
      <w:r>
        <w:rPr>
          <w:color w:val="000000"/>
        </w:rPr>
        <w:t>Te</w:t>
      </w:r>
      <w:proofErr w:type="spellEnd"/>
      <w:r>
        <w:rPr>
          <w:color w:val="000000"/>
        </w:rPr>
        <w:t xml:space="preserve"> requirement.</w:t>
      </w:r>
    </w:p>
    <w:p w14:paraId="081F6C2F" w14:textId="77777777" w:rsidR="002072A9" w:rsidRDefault="002072A9" w:rsidP="00775528">
      <w:pPr>
        <w:jc w:val="both"/>
        <w:rPr>
          <w:b/>
          <w:bCs/>
          <w:i/>
          <w:iCs/>
          <w:color w:val="000000"/>
        </w:rPr>
      </w:pPr>
    </w:p>
    <w:p w14:paraId="483E4B9B" w14:textId="5647A795" w:rsidR="002072A9" w:rsidRDefault="002072A9" w:rsidP="00775528">
      <w:pPr>
        <w:jc w:val="both"/>
        <w:rPr>
          <w:b/>
          <w:bCs/>
          <w:i/>
          <w:iCs/>
          <w:color w:val="000000"/>
        </w:rPr>
      </w:pPr>
      <w:r w:rsidRPr="002072A9">
        <w:rPr>
          <w:b/>
          <w:bCs/>
          <w:i/>
          <w:iCs/>
          <w:color w:val="000000"/>
        </w:rPr>
        <w:t>Proposal 1:</w:t>
      </w:r>
      <w:r>
        <w:rPr>
          <w:b/>
          <w:bCs/>
          <w:i/>
          <w:iCs/>
          <w:color w:val="000000"/>
        </w:rPr>
        <w:t xml:space="preserve"> In case 2, </w:t>
      </w:r>
      <w:proofErr w:type="spellStart"/>
      <w:r w:rsidRPr="002072A9">
        <w:rPr>
          <w:b/>
          <w:bCs/>
          <w:i/>
          <w:iCs/>
          <w:color w:val="000000"/>
        </w:rPr>
        <w:t>Te_NTN</w:t>
      </w:r>
      <w:proofErr w:type="spellEnd"/>
      <w:r w:rsidRPr="002072A9">
        <w:rPr>
          <w:b/>
          <w:bCs/>
          <w:i/>
          <w:iCs/>
          <w:color w:val="000000"/>
        </w:rPr>
        <w:t xml:space="preserve"> </w:t>
      </w:r>
      <w:r>
        <w:rPr>
          <w:b/>
          <w:bCs/>
          <w:i/>
          <w:iCs/>
          <w:color w:val="000000"/>
        </w:rPr>
        <w:t xml:space="preserve">requirement </w:t>
      </w:r>
      <w:r w:rsidRPr="002072A9">
        <w:rPr>
          <w:b/>
          <w:bCs/>
          <w:i/>
          <w:iCs/>
          <w:color w:val="000000"/>
        </w:rPr>
        <w:t>for UL 120kHz SCS</w:t>
      </w:r>
      <w:r>
        <w:rPr>
          <w:b/>
          <w:bCs/>
          <w:i/>
          <w:iCs/>
          <w:color w:val="000000"/>
        </w:rPr>
        <w:t xml:space="preserve"> can be 7.5Ts only if </w:t>
      </w:r>
      <w:r w:rsidRPr="002072A9">
        <w:rPr>
          <w:b/>
          <w:bCs/>
          <w:i/>
          <w:iCs/>
          <w:color w:val="000000"/>
        </w:rPr>
        <w:t>the ephemeris information can be refreshed in every 5 seconds</w:t>
      </w:r>
      <w:r>
        <w:rPr>
          <w:b/>
          <w:bCs/>
          <w:i/>
          <w:iCs/>
          <w:color w:val="000000"/>
        </w:rPr>
        <w:t>.</w:t>
      </w:r>
    </w:p>
    <w:p w14:paraId="6C1AC070" w14:textId="77777777" w:rsidR="002072A9" w:rsidRDefault="002072A9" w:rsidP="00775528">
      <w:pPr>
        <w:jc w:val="both"/>
        <w:rPr>
          <w:b/>
          <w:bCs/>
          <w:i/>
          <w:iCs/>
          <w:color w:val="000000"/>
        </w:rPr>
      </w:pPr>
    </w:p>
    <w:p w14:paraId="3EA884A6" w14:textId="14AB7C82" w:rsidR="002072A9" w:rsidRDefault="002072A9" w:rsidP="00775528">
      <w:pPr>
        <w:jc w:val="both"/>
        <w:rPr>
          <w:color w:val="000000"/>
        </w:rPr>
      </w:pPr>
      <w:r w:rsidRPr="002072A9">
        <w:rPr>
          <w:color w:val="000000"/>
        </w:rPr>
        <w:t xml:space="preserve">Based on our calculation, the </w:t>
      </w:r>
      <w:proofErr w:type="spellStart"/>
      <w:r w:rsidRPr="002072A9">
        <w:rPr>
          <w:color w:val="000000"/>
        </w:rPr>
        <w:t>Te_NTN</w:t>
      </w:r>
      <w:proofErr w:type="spellEnd"/>
      <w:r w:rsidRPr="002072A9">
        <w:rPr>
          <w:color w:val="000000"/>
        </w:rPr>
        <w:t xml:space="preserve"> requirement for case 3 is about 13Ts due to the mobility status of UE</w:t>
      </w:r>
      <w:r>
        <w:rPr>
          <w:color w:val="000000"/>
        </w:rPr>
        <w:t>.</w:t>
      </w:r>
    </w:p>
    <w:p w14:paraId="191B97B1" w14:textId="77777777" w:rsidR="002072A9" w:rsidRPr="002072A9" w:rsidRDefault="002072A9" w:rsidP="00775528">
      <w:pPr>
        <w:jc w:val="both"/>
        <w:rPr>
          <w:color w:val="000000"/>
        </w:rPr>
      </w:pPr>
    </w:p>
    <w:p w14:paraId="1E49C94B" w14:textId="22399D70" w:rsidR="002072A9" w:rsidRDefault="002072A9" w:rsidP="002072A9">
      <w:pPr>
        <w:jc w:val="both"/>
        <w:rPr>
          <w:b/>
          <w:bCs/>
          <w:i/>
          <w:iCs/>
          <w:color w:val="000000"/>
        </w:rPr>
      </w:pPr>
      <w:r w:rsidRPr="002072A9">
        <w:rPr>
          <w:b/>
          <w:bCs/>
          <w:i/>
          <w:iCs/>
          <w:color w:val="000000"/>
        </w:rPr>
        <w:t xml:space="preserve">Proposal </w:t>
      </w:r>
      <w:r>
        <w:rPr>
          <w:b/>
          <w:bCs/>
          <w:i/>
          <w:iCs/>
          <w:color w:val="000000"/>
        </w:rPr>
        <w:t>2</w:t>
      </w:r>
      <w:r w:rsidRPr="002072A9">
        <w:rPr>
          <w:b/>
          <w:bCs/>
          <w:i/>
          <w:iCs/>
          <w:color w:val="000000"/>
        </w:rPr>
        <w:t>:</w:t>
      </w:r>
      <w:r>
        <w:rPr>
          <w:b/>
          <w:bCs/>
          <w:i/>
          <w:iCs/>
          <w:color w:val="000000"/>
        </w:rPr>
        <w:t xml:space="preserve"> In case 3, </w:t>
      </w:r>
      <w:proofErr w:type="spellStart"/>
      <w:r w:rsidRPr="002072A9">
        <w:rPr>
          <w:b/>
          <w:bCs/>
          <w:i/>
          <w:iCs/>
          <w:color w:val="000000"/>
        </w:rPr>
        <w:t>Te_NTN</w:t>
      </w:r>
      <w:proofErr w:type="spellEnd"/>
      <w:r w:rsidRPr="002072A9">
        <w:rPr>
          <w:b/>
          <w:bCs/>
          <w:i/>
          <w:iCs/>
          <w:color w:val="000000"/>
        </w:rPr>
        <w:t xml:space="preserve"> </w:t>
      </w:r>
      <w:r>
        <w:rPr>
          <w:b/>
          <w:bCs/>
          <w:i/>
          <w:iCs/>
          <w:color w:val="000000"/>
        </w:rPr>
        <w:t xml:space="preserve">requirement </w:t>
      </w:r>
      <w:r w:rsidRPr="002072A9">
        <w:rPr>
          <w:b/>
          <w:bCs/>
          <w:i/>
          <w:iCs/>
          <w:color w:val="000000"/>
        </w:rPr>
        <w:t>for UL 120kHz SCS</w:t>
      </w:r>
      <w:r>
        <w:rPr>
          <w:b/>
          <w:bCs/>
          <w:i/>
          <w:iCs/>
          <w:color w:val="000000"/>
        </w:rPr>
        <w:t xml:space="preserve"> can be 13Ts.</w:t>
      </w:r>
    </w:p>
    <w:p w14:paraId="51BD9D83" w14:textId="77777777" w:rsidR="002072A9" w:rsidRDefault="002072A9" w:rsidP="002072A9">
      <w:pPr>
        <w:jc w:val="both"/>
        <w:rPr>
          <w:b/>
          <w:bCs/>
          <w:i/>
          <w:iCs/>
          <w:color w:val="000000"/>
        </w:rPr>
      </w:pPr>
    </w:p>
    <w:p w14:paraId="195F1A52" w14:textId="77777777" w:rsidR="002072A9" w:rsidRDefault="002072A9" w:rsidP="002072A9">
      <w:pPr>
        <w:jc w:val="both"/>
        <w:rPr>
          <w:color w:val="000000"/>
        </w:rPr>
      </w:pPr>
      <w:r>
        <w:rPr>
          <w:color w:val="000000"/>
        </w:rPr>
        <w:t xml:space="preserve">We didn’t see the justification to relax the RACH channel compared with other channels, because if the network is able to monitor RACH in a </w:t>
      </w:r>
      <w:proofErr w:type="gramStart"/>
      <w:r>
        <w:rPr>
          <w:color w:val="000000"/>
        </w:rPr>
        <w:t>big time</w:t>
      </w:r>
      <w:proofErr w:type="gramEnd"/>
      <w:r>
        <w:rPr>
          <w:color w:val="000000"/>
        </w:rPr>
        <w:t xml:space="preserve"> search window, the same complexity will apply for other channels.</w:t>
      </w:r>
    </w:p>
    <w:p w14:paraId="50FBCEAD" w14:textId="77777777" w:rsidR="00F174FA" w:rsidRDefault="00F174FA" w:rsidP="00775528">
      <w:pPr>
        <w:jc w:val="both"/>
        <w:rPr>
          <w:color w:val="000000"/>
        </w:rPr>
      </w:pPr>
    </w:p>
    <w:p w14:paraId="31AF0C39" w14:textId="4979DCEB" w:rsidR="002072A9" w:rsidRDefault="002072A9" w:rsidP="00775528">
      <w:pPr>
        <w:jc w:val="both"/>
        <w:rPr>
          <w:color w:val="000000"/>
        </w:rPr>
      </w:pPr>
      <w:r w:rsidRPr="002072A9">
        <w:rPr>
          <w:b/>
          <w:bCs/>
          <w:i/>
          <w:iCs/>
          <w:color w:val="000000"/>
        </w:rPr>
        <w:lastRenderedPageBreak/>
        <w:t xml:space="preserve">Proposal </w:t>
      </w:r>
      <w:r>
        <w:rPr>
          <w:b/>
          <w:bCs/>
          <w:i/>
          <w:iCs/>
          <w:color w:val="000000"/>
        </w:rPr>
        <w:t>3</w:t>
      </w:r>
      <w:r w:rsidRPr="002072A9">
        <w:rPr>
          <w:b/>
          <w:bCs/>
          <w:i/>
          <w:iCs/>
          <w:color w:val="000000"/>
        </w:rPr>
        <w:t>:</w:t>
      </w:r>
      <w:r>
        <w:rPr>
          <w:b/>
          <w:bCs/>
          <w:i/>
          <w:iCs/>
          <w:color w:val="000000"/>
        </w:rPr>
        <w:t xml:space="preserve"> </w:t>
      </w:r>
      <w:proofErr w:type="spellStart"/>
      <w:r w:rsidRPr="002072A9">
        <w:rPr>
          <w:b/>
          <w:bCs/>
          <w:i/>
          <w:iCs/>
          <w:color w:val="000000"/>
        </w:rPr>
        <w:t>Te_NTN</w:t>
      </w:r>
      <w:proofErr w:type="spellEnd"/>
      <w:r w:rsidRPr="002072A9">
        <w:rPr>
          <w:b/>
          <w:bCs/>
          <w:i/>
          <w:iCs/>
          <w:color w:val="000000"/>
        </w:rPr>
        <w:t xml:space="preserve"> </w:t>
      </w:r>
      <w:r>
        <w:rPr>
          <w:b/>
          <w:bCs/>
          <w:i/>
          <w:iCs/>
          <w:color w:val="000000"/>
        </w:rPr>
        <w:t xml:space="preserve">requirement </w:t>
      </w:r>
      <w:r w:rsidRPr="002072A9">
        <w:rPr>
          <w:b/>
          <w:bCs/>
          <w:i/>
          <w:iCs/>
          <w:color w:val="000000"/>
        </w:rPr>
        <w:t xml:space="preserve">for </w:t>
      </w:r>
      <w:r>
        <w:rPr>
          <w:b/>
          <w:bCs/>
          <w:i/>
          <w:iCs/>
          <w:color w:val="000000"/>
        </w:rPr>
        <w:t xml:space="preserve">NTN on above 10GHz shall </w:t>
      </w:r>
      <w:r w:rsidR="003D5EFA">
        <w:rPr>
          <w:b/>
          <w:bCs/>
          <w:i/>
          <w:iCs/>
          <w:color w:val="000000"/>
        </w:rPr>
        <w:t>not be differentiated for different</w:t>
      </w:r>
      <w:r>
        <w:rPr>
          <w:b/>
          <w:bCs/>
          <w:i/>
          <w:iCs/>
          <w:color w:val="000000"/>
        </w:rPr>
        <w:t xml:space="preserve"> channel type</w:t>
      </w:r>
      <w:r w:rsidR="003D5EFA">
        <w:rPr>
          <w:b/>
          <w:bCs/>
          <w:i/>
          <w:iCs/>
          <w:color w:val="000000"/>
        </w:rPr>
        <w:t xml:space="preserve">s, i.e., </w:t>
      </w:r>
      <w:proofErr w:type="spellStart"/>
      <w:r w:rsidR="003D5EFA">
        <w:rPr>
          <w:b/>
          <w:bCs/>
          <w:i/>
          <w:iCs/>
          <w:color w:val="000000"/>
        </w:rPr>
        <w:t>Te_NTN</w:t>
      </w:r>
      <w:proofErr w:type="spellEnd"/>
      <w:r w:rsidR="003D5EFA">
        <w:rPr>
          <w:b/>
          <w:bCs/>
          <w:i/>
          <w:iCs/>
          <w:color w:val="000000"/>
        </w:rPr>
        <w:t xml:space="preserve"> requirement for RACH is same as other UL </w:t>
      </w:r>
      <w:proofErr w:type="gramStart"/>
      <w:r w:rsidR="003D5EFA">
        <w:rPr>
          <w:b/>
          <w:bCs/>
          <w:i/>
          <w:iCs/>
          <w:color w:val="000000"/>
        </w:rPr>
        <w:t>channels’</w:t>
      </w:r>
      <w:proofErr w:type="gramEnd"/>
      <w:r>
        <w:rPr>
          <w:b/>
          <w:bCs/>
          <w:i/>
          <w:iCs/>
          <w:color w:val="000000"/>
        </w:rPr>
        <w:t>.</w:t>
      </w:r>
    </w:p>
    <w:p w14:paraId="04524E09" w14:textId="794805B5" w:rsidR="006E5700" w:rsidRPr="00DD1ED7" w:rsidRDefault="00DD1ED7" w:rsidP="00893F0E">
      <w:pPr>
        <w:pStyle w:val="Heading1"/>
        <w:numPr>
          <w:ilvl w:val="0"/>
          <w:numId w:val="10"/>
        </w:numPr>
        <w:pBdr>
          <w:top w:val="single" w:sz="12" w:space="2" w:color="auto"/>
        </w:pBdr>
        <w:jc w:val="both"/>
        <w:rPr>
          <w:sz w:val="32"/>
          <w:lang w:val="en-US"/>
        </w:rPr>
      </w:pPr>
      <w:r>
        <w:rPr>
          <w:sz w:val="32"/>
          <w:lang w:val="en-US"/>
        </w:rPr>
        <w:t xml:space="preserve">Other </w:t>
      </w:r>
      <w:r w:rsidR="00F14AFD">
        <w:rPr>
          <w:sz w:val="32"/>
          <w:lang w:val="en-US"/>
        </w:rPr>
        <w:t xml:space="preserve">RRM </w:t>
      </w:r>
      <w:r w:rsidR="008369BC">
        <w:rPr>
          <w:sz w:val="32"/>
          <w:lang w:val="en-US"/>
        </w:rPr>
        <w:t>requirements</w:t>
      </w:r>
    </w:p>
    <w:p w14:paraId="505FC035" w14:textId="77777777" w:rsidR="00DD1ED7" w:rsidRPr="00DD1ED7" w:rsidRDefault="00DD1ED7" w:rsidP="00DD1ED7">
      <w:pPr>
        <w:outlineLvl w:val="2"/>
        <w:rPr>
          <w:b/>
          <w:u w:val="single"/>
          <w:lang w:eastAsia="ko-KR"/>
        </w:rPr>
      </w:pPr>
      <w:r w:rsidRPr="00DD1ED7">
        <w:rPr>
          <w:b/>
          <w:u w:val="single"/>
          <w:lang w:eastAsia="ko-KR"/>
        </w:rPr>
        <w:t xml:space="preserve">Issue 2-13: UE </w:t>
      </w:r>
      <w:proofErr w:type="gramStart"/>
      <w:r w:rsidRPr="00DD1ED7">
        <w:rPr>
          <w:b/>
          <w:u w:val="single"/>
          <w:lang w:eastAsia="ko-KR"/>
        </w:rPr>
        <w:t>capability</w:t>
      </w:r>
      <w:proofErr w:type="gramEnd"/>
    </w:p>
    <w:p w14:paraId="4F058845" w14:textId="77777777" w:rsidR="006E5700" w:rsidRDefault="006E5700" w:rsidP="00893F0E">
      <w:pPr>
        <w:jc w:val="both"/>
        <w:rPr>
          <w:lang w:val="en-GB" w:eastAsia="x-none"/>
        </w:rPr>
      </w:pPr>
    </w:p>
    <w:tbl>
      <w:tblPr>
        <w:tblStyle w:val="TableGrid"/>
        <w:tblW w:w="0" w:type="auto"/>
        <w:tblLook w:val="04A0" w:firstRow="1" w:lastRow="0" w:firstColumn="1" w:lastColumn="0" w:noHBand="0" w:noVBand="1"/>
      </w:tblPr>
      <w:tblGrid>
        <w:gridCol w:w="9629"/>
      </w:tblGrid>
      <w:tr w:rsidR="006E5700" w14:paraId="583CDA50" w14:textId="77777777" w:rsidTr="006E5700">
        <w:tc>
          <w:tcPr>
            <w:tcW w:w="9629" w:type="dxa"/>
          </w:tcPr>
          <w:p w14:paraId="7E8A80BC" w14:textId="77777777" w:rsidR="00DD1ED7" w:rsidRPr="003A5D22" w:rsidRDefault="00DD1ED7" w:rsidP="00DD1ED7">
            <w:pPr>
              <w:spacing w:after="0"/>
              <w:ind w:firstLine="284"/>
              <w:rPr>
                <w:b/>
                <w:bCs/>
                <w:u w:val="single"/>
                <w:lang w:eastAsia="ja-JP"/>
              </w:rPr>
            </w:pPr>
            <w:r w:rsidRPr="009F5560">
              <w:rPr>
                <w:b/>
                <w:bCs/>
                <w:highlight w:val="yellow"/>
                <w:u w:val="single"/>
                <w:lang w:eastAsia="ja-JP"/>
              </w:rPr>
              <w:t>FFS</w:t>
            </w:r>
          </w:p>
          <w:p w14:paraId="2279A3E2" w14:textId="77777777" w:rsidR="00DD1ED7" w:rsidRPr="009F5560" w:rsidRDefault="00DD1ED7" w:rsidP="00DD1ED7">
            <w:pPr>
              <w:pStyle w:val="ListParagraph"/>
              <w:widowControl/>
              <w:numPr>
                <w:ilvl w:val="0"/>
                <w:numId w:val="45"/>
              </w:numPr>
              <w:spacing w:before="0" w:beforeAutospacing="0" w:after="0" w:line="240" w:lineRule="auto"/>
              <w:ind w:left="644" w:firstLineChars="0"/>
              <w:rPr>
                <w:lang w:eastAsia="ja-JP"/>
              </w:rPr>
            </w:pPr>
            <w:r w:rsidRPr="009F5560">
              <w:rPr>
                <w:lang w:eastAsia="ja-JP"/>
              </w:rPr>
              <w:t>The following UE capabilities introduced in Rel-17 NR NTN are not applicable for NR NTN band above 10GHz:</w:t>
            </w:r>
          </w:p>
          <w:p w14:paraId="2F90EB0C" w14:textId="77777777" w:rsidR="00DD1ED7" w:rsidRPr="009F5560" w:rsidRDefault="00DD1ED7" w:rsidP="00DD1ED7">
            <w:pPr>
              <w:pStyle w:val="ListParagraph"/>
              <w:widowControl/>
              <w:numPr>
                <w:ilvl w:val="1"/>
                <w:numId w:val="45"/>
              </w:numPr>
              <w:spacing w:before="0" w:beforeAutospacing="0" w:after="0" w:line="240" w:lineRule="auto"/>
              <w:ind w:left="1364" w:firstLineChars="0"/>
              <w:rPr>
                <w:lang w:eastAsia="ja-JP"/>
              </w:rPr>
            </w:pPr>
            <w:r w:rsidRPr="009F5560">
              <w:rPr>
                <w:lang w:eastAsia="ja-JP"/>
              </w:rPr>
              <w:t>maxNumber-NGSO-SatellitesWithinOneSMTC-r17</w:t>
            </w:r>
          </w:p>
          <w:p w14:paraId="6595EBF2" w14:textId="77777777" w:rsidR="00DD1ED7" w:rsidRPr="009F5560" w:rsidRDefault="00DD1ED7" w:rsidP="00DD1ED7">
            <w:pPr>
              <w:pStyle w:val="ListParagraph"/>
              <w:widowControl/>
              <w:numPr>
                <w:ilvl w:val="2"/>
                <w:numId w:val="45"/>
              </w:numPr>
              <w:spacing w:before="0" w:beforeAutospacing="0" w:after="0" w:line="240" w:lineRule="auto"/>
              <w:ind w:left="2084" w:firstLineChars="0"/>
              <w:rPr>
                <w:lang w:val="en-US" w:eastAsia="ja-JP"/>
              </w:rPr>
            </w:pPr>
            <w:r w:rsidRPr="009F5560">
              <w:rPr>
                <w:lang w:eastAsia="ja-JP"/>
              </w:rPr>
              <w:t xml:space="preserve">Note: Support of </w:t>
            </w:r>
            <w:r w:rsidRPr="009F5560">
              <w:rPr>
                <w:b/>
                <w:bCs/>
                <w:lang w:eastAsia="ja-JP"/>
              </w:rPr>
              <w:t>simultaneously</w:t>
            </w:r>
            <w:r w:rsidRPr="009F5560">
              <w:rPr>
                <w:lang w:eastAsia="ja-JP"/>
              </w:rPr>
              <w:t xml:space="preserve"> measurements on target cells belonging to different NGSO satellites within a SMTC</w:t>
            </w:r>
          </w:p>
          <w:p w14:paraId="438992C8" w14:textId="77777777" w:rsidR="00DD1ED7" w:rsidRPr="009F5560" w:rsidRDefault="00DD1ED7" w:rsidP="00DD1ED7">
            <w:pPr>
              <w:pStyle w:val="ListParagraph"/>
              <w:widowControl/>
              <w:numPr>
                <w:ilvl w:val="1"/>
                <w:numId w:val="45"/>
              </w:numPr>
              <w:spacing w:before="0" w:beforeAutospacing="0" w:after="0" w:line="240" w:lineRule="auto"/>
              <w:ind w:left="1364" w:firstLineChars="0"/>
              <w:rPr>
                <w:lang w:eastAsia="ja-JP"/>
              </w:rPr>
            </w:pPr>
            <w:r w:rsidRPr="009F5560">
              <w:rPr>
                <w:lang w:eastAsia="ja-JP"/>
              </w:rPr>
              <w:t>parallelMeasurementWithoutRestriction-r17 are not applicable</w:t>
            </w:r>
          </w:p>
          <w:p w14:paraId="0FD0E3C4" w14:textId="77777777" w:rsidR="00DD1ED7" w:rsidRPr="009F5560" w:rsidRDefault="00DD1ED7" w:rsidP="00DD1ED7">
            <w:pPr>
              <w:pStyle w:val="ListParagraph"/>
              <w:widowControl/>
              <w:numPr>
                <w:ilvl w:val="2"/>
                <w:numId w:val="45"/>
              </w:numPr>
              <w:spacing w:before="0" w:beforeAutospacing="0" w:after="0" w:line="240" w:lineRule="auto"/>
              <w:ind w:left="2084" w:firstLineChars="0"/>
              <w:rPr>
                <w:lang w:val="en-US" w:eastAsia="ja-JP"/>
              </w:rPr>
            </w:pPr>
            <w:r w:rsidRPr="009F5560">
              <w:rPr>
                <w:lang w:eastAsia="ja-JP"/>
              </w:rPr>
              <w:t xml:space="preserve">Note: Support of measurements on cells belonging to different satellite as the serving cell </w:t>
            </w:r>
            <w:r w:rsidRPr="009F5560">
              <w:rPr>
                <w:b/>
                <w:bCs/>
                <w:lang w:eastAsia="ja-JP"/>
              </w:rPr>
              <w:t xml:space="preserve">in parallel </w:t>
            </w:r>
            <w:r w:rsidRPr="009F5560">
              <w:rPr>
                <w:lang w:eastAsia="ja-JP"/>
              </w:rPr>
              <w:t>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p w14:paraId="5BBE9943" w14:textId="77777777" w:rsidR="00DD1ED7" w:rsidRPr="009F5560" w:rsidRDefault="00DD1ED7" w:rsidP="00DD1ED7">
            <w:pPr>
              <w:pStyle w:val="ListParagraph"/>
              <w:widowControl/>
              <w:numPr>
                <w:ilvl w:val="1"/>
                <w:numId w:val="45"/>
              </w:numPr>
              <w:spacing w:before="0" w:beforeAutospacing="0" w:after="0" w:line="240" w:lineRule="auto"/>
              <w:ind w:left="1364" w:firstLineChars="0"/>
              <w:rPr>
                <w:lang w:eastAsia="ja-JP"/>
              </w:rPr>
            </w:pPr>
            <w:r w:rsidRPr="009F5560">
              <w:rPr>
                <w:lang w:eastAsia="ja-JP"/>
              </w:rPr>
              <w:t>parallelSMTC-r17</w:t>
            </w:r>
          </w:p>
          <w:p w14:paraId="3A0A8EFC" w14:textId="77777777" w:rsidR="00DD1ED7" w:rsidRPr="009F5560" w:rsidRDefault="00DD1ED7" w:rsidP="00DD1ED7">
            <w:pPr>
              <w:pStyle w:val="ListParagraph"/>
              <w:widowControl/>
              <w:numPr>
                <w:ilvl w:val="2"/>
                <w:numId w:val="45"/>
              </w:numPr>
              <w:spacing w:before="0" w:beforeAutospacing="0" w:after="0" w:line="240" w:lineRule="auto"/>
              <w:ind w:left="2084" w:firstLineChars="0"/>
              <w:rPr>
                <w:lang w:val="en-US" w:eastAsia="ja-JP"/>
              </w:rPr>
            </w:pPr>
            <w:r w:rsidRPr="009F5560">
              <w:rPr>
                <w:lang w:eastAsia="ja-JP"/>
              </w:rPr>
              <w:t>Note: Support of measurements on target cells belonging to 4 SMTC-s on a single frequency carrier</w:t>
            </w:r>
          </w:p>
          <w:p w14:paraId="421C25C0" w14:textId="77777777" w:rsidR="00DD1ED7" w:rsidRPr="009F5560" w:rsidRDefault="00DD1ED7" w:rsidP="00DD1ED7">
            <w:pPr>
              <w:pStyle w:val="ListParagraph"/>
              <w:widowControl/>
              <w:numPr>
                <w:ilvl w:val="2"/>
                <w:numId w:val="45"/>
              </w:numPr>
              <w:spacing w:before="0" w:beforeAutospacing="0" w:after="0" w:line="240" w:lineRule="auto"/>
              <w:ind w:left="2084" w:firstLineChars="0"/>
              <w:rPr>
                <w:lang w:val="en-US" w:eastAsia="ja-JP"/>
              </w:rPr>
            </w:pPr>
            <w:r w:rsidRPr="009F5560">
              <w:rPr>
                <w:lang w:eastAsia="ja-JP"/>
              </w:rPr>
              <w:t>Note: As per RP-232694 approved in RAN#101, inter-satellite measurements are not assumed in Rel-18.</w:t>
            </w:r>
          </w:p>
          <w:p w14:paraId="4CE1062C" w14:textId="77777777" w:rsidR="00DD1ED7" w:rsidRPr="009F5560" w:rsidRDefault="00DD1ED7" w:rsidP="00DD1ED7">
            <w:pPr>
              <w:pStyle w:val="ListParagraph"/>
              <w:widowControl/>
              <w:numPr>
                <w:ilvl w:val="1"/>
                <w:numId w:val="45"/>
              </w:numPr>
              <w:spacing w:before="0" w:beforeAutospacing="0" w:after="0" w:line="240" w:lineRule="auto"/>
              <w:ind w:left="1364" w:firstLineChars="0"/>
              <w:rPr>
                <w:lang w:eastAsia="ja-JP"/>
              </w:rPr>
            </w:pPr>
            <w:r w:rsidRPr="009F5560">
              <w:rPr>
                <w:lang w:eastAsia="ja-JP"/>
              </w:rPr>
              <w:t>maxNumber-LEO-SatellitesPerCarrier-r17</w:t>
            </w:r>
          </w:p>
          <w:p w14:paraId="6FB6B480" w14:textId="77777777" w:rsidR="00DD1ED7" w:rsidRPr="009F5560" w:rsidRDefault="00DD1ED7" w:rsidP="00DD1ED7">
            <w:pPr>
              <w:pStyle w:val="ListParagraph"/>
              <w:widowControl/>
              <w:numPr>
                <w:ilvl w:val="2"/>
                <w:numId w:val="45"/>
              </w:numPr>
              <w:spacing w:before="0" w:beforeAutospacing="0" w:after="0" w:line="240" w:lineRule="auto"/>
              <w:ind w:left="2084" w:firstLineChars="0"/>
              <w:rPr>
                <w:lang w:val="en-US" w:eastAsia="ja-JP"/>
              </w:rPr>
            </w:pPr>
            <w:r w:rsidRPr="009F5560">
              <w:rPr>
                <w:lang w:eastAsia="ja-JP"/>
              </w:rPr>
              <w:t>Note: On serving carrier, it indicates the number of target LEO satellites the UE can monitor per carrier including serving satellite</w:t>
            </w:r>
          </w:p>
          <w:p w14:paraId="4F378FA1" w14:textId="77777777" w:rsidR="00DD1ED7" w:rsidRPr="009F5560" w:rsidRDefault="00DD1ED7" w:rsidP="00DD1ED7">
            <w:pPr>
              <w:pStyle w:val="ListParagraph"/>
              <w:widowControl/>
              <w:numPr>
                <w:ilvl w:val="2"/>
                <w:numId w:val="45"/>
              </w:numPr>
              <w:spacing w:before="0" w:beforeAutospacing="0" w:after="0" w:line="240" w:lineRule="auto"/>
              <w:ind w:left="2084" w:firstLineChars="0"/>
              <w:rPr>
                <w:lang w:eastAsia="ja-JP"/>
              </w:rPr>
            </w:pPr>
            <w:r w:rsidRPr="009F5560">
              <w:rPr>
                <w:lang w:eastAsia="ja-JP"/>
              </w:rPr>
              <w:t>Note: On non-serving carrier, it indicates the number of target LEO satellites the UE can monitor per carrier.</w:t>
            </w:r>
          </w:p>
          <w:p w14:paraId="218DFA5E" w14:textId="77777777" w:rsidR="00DD1ED7" w:rsidRPr="009F5560" w:rsidRDefault="00DD1ED7" w:rsidP="00DD1ED7">
            <w:pPr>
              <w:pStyle w:val="ListParagraph"/>
              <w:widowControl/>
              <w:numPr>
                <w:ilvl w:val="2"/>
                <w:numId w:val="45"/>
              </w:numPr>
              <w:spacing w:before="0" w:beforeAutospacing="0" w:after="0" w:line="240" w:lineRule="auto"/>
              <w:ind w:left="2084" w:firstLineChars="0"/>
              <w:rPr>
                <w:lang w:val="en-US" w:eastAsia="ja-JP"/>
              </w:rPr>
            </w:pPr>
            <w:r w:rsidRPr="009F5560">
              <w:rPr>
                <w:lang w:eastAsia="ja-JP"/>
              </w:rPr>
              <w:t>Note: As per RP-232694 approved in RAN#101, inter-satellite measurements are not assumed in Rel-18.</w:t>
            </w:r>
          </w:p>
          <w:p w14:paraId="5ECAAAAF" w14:textId="77777777" w:rsidR="00DD1ED7" w:rsidRPr="009F5560" w:rsidRDefault="00DD1ED7" w:rsidP="00DD1ED7">
            <w:pPr>
              <w:pStyle w:val="ListParagraph"/>
              <w:widowControl/>
              <w:numPr>
                <w:ilvl w:val="1"/>
                <w:numId w:val="45"/>
              </w:numPr>
              <w:spacing w:before="0" w:beforeAutospacing="0" w:after="0" w:line="240" w:lineRule="auto"/>
              <w:ind w:left="1364" w:firstLineChars="0"/>
              <w:rPr>
                <w:lang w:eastAsia="ja-JP"/>
              </w:rPr>
            </w:pPr>
            <w:r w:rsidRPr="009F5560">
              <w:rPr>
                <w:lang w:eastAsia="ja-JP"/>
              </w:rPr>
              <w:t>TBD on [parallelMeasurementGap-r17]</w:t>
            </w:r>
          </w:p>
          <w:p w14:paraId="2002E0CE" w14:textId="77777777" w:rsidR="00DD1ED7" w:rsidRPr="009F5560" w:rsidRDefault="00DD1ED7" w:rsidP="00DD1ED7">
            <w:pPr>
              <w:pStyle w:val="ListParagraph"/>
              <w:widowControl/>
              <w:numPr>
                <w:ilvl w:val="2"/>
                <w:numId w:val="45"/>
              </w:numPr>
              <w:spacing w:before="0" w:beforeAutospacing="0" w:after="0" w:line="240" w:lineRule="auto"/>
              <w:ind w:left="2084" w:firstLineChars="0"/>
              <w:rPr>
                <w:lang w:val="en-US" w:eastAsia="ja-JP"/>
              </w:rPr>
            </w:pPr>
            <w:r w:rsidRPr="009F5560">
              <w:rPr>
                <w:lang w:eastAsia="ja-JP"/>
              </w:rPr>
              <w:t>Note: Support of 2 measurement gaps</w:t>
            </w:r>
          </w:p>
          <w:p w14:paraId="7FA0D5F3" w14:textId="10CD1C42" w:rsidR="006E5700" w:rsidRPr="00DD1ED7" w:rsidRDefault="00DD1ED7" w:rsidP="00DD1ED7">
            <w:pPr>
              <w:pStyle w:val="ListParagraph"/>
              <w:widowControl/>
              <w:numPr>
                <w:ilvl w:val="2"/>
                <w:numId w:val="45"/>
              </w:numPr>
              <w:spacing w:before="0" w:beforeAutospacing="0" w:after="0" w:line="240" w:lineRule="auto"/>
              <w:ind w:left="2084" w:firstLineChars="0"/>
              <w:rPr>
                <w:lang w:val="en-US" w:eastAsia="ja-JP"/>
              </w:rPr>
            </w:pPr>
            <w:r w:rsidRPr="009F5560">
              <w:rPr>
                <w:lang w:val="en-US" w:eastAsia="ja-JP"/>
              </w:rPr>
              <w:t>Note: the capability directly means neither ‘parallel/simultaneous measurement’ nor ‘inter-satellite measurement.’</w:t>
            </w:r>
          </w:p>
        </w:tc>
      </w:tr>
    </w:tbl>
    <w:p w14:paraId="430B717D" w14:textId="77777777" w:rsidR="006E5700" w:rsidRDefault="006E5700" w:rsidP="00893F0E">
      <w:pPr>
        <w:jc w:val="both"/>
        <w:rPr>
          <w:lang w:val="en-GB" w:eastAsia="x-none"/>
        </w:rPr>
      </w:pPr>
    </w:p>
    <w:p w14:paraId="273AEB17" w14:textId="0256AEF6" w:rsidR="00B83DF3" w:rsidRDefault="008B21BE" w:rsidP="009712EF">
      <w:pPr>
        <w:jc w:val="both"/>
        <w:rPr>
          <w:lang w:val="en-GB" w:eastAsia="x-none"/>
        </w:rPr>
      </w:pPr>
      <w:r>
        <w:rPr>
          <w:lang w:val="en-GB" w:eastAsia="x-none"/>
        </w:rPr>
        <w:t xml:space="preserve">For other RRM impacts of </w:t>
      </w:r>
      <w:proofErr w:type="spellStart"/>
      <w:r>
        <w:rPr>
          <w:lang w:val="en-GB" w:eastAsia="x-none"/>
        </w:rPr>
        <w:t>eNTN</w:t>
      </w:r>
      <w:proofErr w:type="spellEnd"/>
      <w:r>
        <w:rPr>
          <w:lang w:val="en-GB" w:eastAsia="x-none"/>
        </w:rPr>
        <w:t xml:space="preserve"> above 10GHz, </w:t>
      </w:r>
      <w:r w:rsidR="00EC435F">
        <w:rPr>
          <w:lang w:val="en-GB" w:eastAsia="x-none"/>
        </w:rPr>
        <w:t>some existing UE capabilit</w:t>
      </w:r>
      <w:r w:rsidR="001C3801">
        <w:rPr>
          <w:lang w:val="en-GB" w:eastAsia="x-none"/>
        </w:rPr>
        <w:t>ies</w:t>
      </w:r>
      <w:r w:rsidR="00EC435F">
        <w:rPr>
          <w:lang w:val="en-GB" w:eastAsia="x-none"/>
        </w:rPr>
        <w:t xml:space="preserve"> may need clarification</w:t>
      </w:r>
      <w:r w:rsidR="009712EF">
        <w:rPr>
          <w:lang w:val="en-GB" w:eastAsia="x-none"/>
        </w:rPr>
        <w:t xml:space="preserve"> for NTN UE in Ka band:</w:t>
      </w:r>
      <w:r w:rsidR="00EC435F">
        <w:rPr>
          <w:lang w:val="en-GB" w:eastAsia="x-none"/>
        </w:rPr>
        <w:t xml:space="preserve"> </w:t>
      </w:r>
    </w:p>
    <w:p w14:paraId="3862A848" w14:textId="77777777" w:rsidR="003469BE" w:rsidRPr="003469BE" w:rsidRDefault="003469BE" w:rsidP="00952C22">
      <w:pPr>
        <w:pStyle w:val="ListParagraph"/>
        <w:numPr>
          <w:ilvl w:val="0"/>
          <w:numId w:val="41"/>
        </w:numPr>
        <w:spacing w:before="0" w:beforeAutospacing="0" w:line="240" w:lineRule="auto"/>
        <w:ind w:firstLineChars="0"/>
        <w:jc w:val="both"/>
        <w:rPr>
          <w:rFonts w:eastAsia="Times New Roman"/>
          <w:snapToGrid/>
          <w:sz w:val="24"/>
          <w:szCs w:val="24"/>
          <w:lang w:val="en-GB"/>
        </w:rPr>
      </w:pPr>
      <w:r w:rsidRPr="003469BE">
        <w:rPr>
          <w:rFonts w:eastAsia="Times New Roman"/>
          <w:i/>
          <w:iCs/>
          <w:snapToGrid/>
          <w:sz w:val="24"/>
          <w:szCs w:val="24"/>
          <w:lang w:val="en-GB"/>
        </w:rPr>
        <w:t>maxNumber-NGSO-SatellitesWithinOneSMTC-r17</w:t>
      </w:r>
      <w:r w:rsidRPr="003469BE">
        <w:rPr>
          <w:rFonts w:eastAsia="Times New Roman"/>
          <w:snapToGrid/>
          <w:sz w:val="24"/>
          <w:szCs w:val="24"/>
          <w:lang w:val="en-GB"/>
        </w:rPr>
        <w:t xml:space="preserve"> and </w:t>
      </w:r>
    </w:p>
    <w:p w14:paraId="0C60FC99" w14:textId="4EF216D4" w:rsidR="003469BE" w:rsidRPr="003469BE" w:rsidRDefault="003469BE" w:rsidP="00952C22">
      <w:pPr>
        <w:pStyle w:val="ListParagraph"/>
        <w:numPr>
          <w:ilvl w:val="0"/>
          <w:numId w:val="41"/>
        </w:numPr>
        <w:spacing w:before="0" w:beforeAutospacing="0" w:line="240" w:lineRule="auto"/>
        <w:ind w:firstLineChars="0"/>
        <w:jc w:val="both"/>
        <w:rPr>
          <w:rFonts w:eastAsia="Times New Roman"/>
          <w:snapToGrid/>
          <w:sz w:val="24"/>
          <w:szCs w:val="24"/>
          <w:lang w:val="en-GB"/>
        </w:rPr>
      </w:pPr>
      <w:r w:rsidRPr="003469BE">
        <w:rPr>
          <w:i/>
          <w:iCs/>
          <w:sz w:val="24"/>
          <w:szCs w:val="24"/>
          <w:lang w:val="en-GB"/>
        </w:rPr>
        <w:t>parallelMeasurementWithoutRestriction-r17</w:t>
      </w:r>
      <w:r w:rsidRPr="003469BE">
        <w:rPr>
          <w:sz w:val="24"/>
          <w:szCs w:val="24"/>
          <w:lang w:val="en-GB"/>
        </w:rPr>
        <w:t>,</w:t>
      </w:r>
    </w:p>
    <w:p w14:paraId="39736C31" w14:textId="2EB5F9B1" w:rsidR="00224A30" w:rsidRDefault="003469BE" w:rsidP="00893F0E">
      <w:pPr>
        <w:jc w:val="both"/>
        <w:rPr>
          <w:iCs/>
          <w:color w:val="000000" w:themeColor="text1"/>
        </w:rPr>
      </w:pPr>
      <w:r w:rsidRPr="003469BE">
        <w:rPr>
          <w:iCs/>
          <w:noProof/>
          <w:color w:val="000000" w:themeColor="text1"/>
        </w:rPr>
        <w:drawing>
          <wp:inline distT="0" distB="0" distL="0" distR="0" wp14:anchorId="1638C662" wp14:editId="1F361166">
            <wp:extent cx="6120765" cy="1494790"/>
            <wp:effectExtent l="0" t="0" r="635" b="381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9"/>
                    <a:stretch>
                      <a:fillRect/>
                    </a:stretch>
                  </pic:blipFill>
                  <pic:spPr>
                    <a:xfrm>
                      <a:off x="0" y="0"/>
                      <a:ext cx="6120765" cy="1494790"/>
                    </a:xfrm>
                    <a:prstGeom prst="rect">
                      <a:avLst/>
                    </a:prstGeom>
                  </pic:spPr>
                </pic:pic>
              </a:graphicData>
            </a:graphic>
          </wp:inline>
        </w:drawing>
      </w:r>
    </w:p>
    <w:p w14:paraId="72A6B011" w14:textId="475F26B9" w:rsidR="003469BE" w:rsidRDefault="003469BE" w:rsidP="00893F0E">
      <w:pPr>
        <w:jc w:val="both"/>
        <w:rPr>
          <w:lang w:val="en-GB" w:eastAsia="x-none"/>
        </w:rPr>
      </w:pPr>
      <w:r w:rsidRPr="003469BE">
        <w:rPr>
          <w:lang w:val="en-GB" w:eastAsia="x-none"/>
        </w:rPr>
        <w:t xml:space="preserve">In </w:t>
      </w:r>
      <w:r w:rsidRPr="003469BE">
        <w:rPr>
          <w:i/>
          <w:iCs/>
          <w:lang w:val="en-GB" w:eastAsia="x-none"/>
        </w:rPr>
        <w:t>maxNumber-NGSO-SatellitesWithinOneSMTC-r17</w:t>
      </w:r>
      <w:r w:rsidRPr="003469BE">
        <w:rPr>
          <w:lang w:val="en-GB" w:eastAsia="x-none"/>
        </w:rPr>
        <w:t xml:space="preserve">, it’s only for FR1 and no Rx beam related measurement collision has been considered, that means, in FR1 UE </w:t>
      </w:r>
      <w:r>
        <w:rPr>
          <w:lang w:val="en-GB" w:eastAsia="x-none"/>
        </w:rPr>
        <w:t>can</w:t>
      </w:r>
      <w:r w:rsidRPr="003469BE">
        <w:rPr>
          <w:lang w:val="en-GB" w:eastAsia="x-none"/>
        </w:rPr>
        <w:t xml:space="preserve"> indicate to support multiple NGSO within SMTC for parallel measurement, however, in 10GHz NTN, the beam condition shall also be considered, and therefore UE may not be able to support parallel measurement.</w:t>
      </w:r>
    </w:p>
    <w:p w14:paraId="46F137AB" w14:textId="70EB017A" w:rsidR="00AC1043" w:rsidRDefault="00AC1043" w:rsidP="00893F0E">
      <w:pPr>
        <w:jc w:val="both"/>
        <w:rPr>
          <w:lang w:val="en-GB" w:eastAsia="x-none"/>
        </w:rPr>
      </w:pPr>
    </w:p>
    <w:p w14:paraId="6B496AE9" w14:textId="77777777" w:rsidR="00AC1043" w:rsidRDefault="00AC1043" w:rsidP="00893F0E">
      <w:pPr>
        <w:jc w:val="both"/>
        <w:rPr>
          <w:lang w:eastAsia="ja-JP"/>
        </w:rPr>
      </w:pPr>
      <w:r>
        <w:rPr>
          <w:lang w:val="en-GB" w:eastAsia="x-none"/>
        </w:rPr>
        <w:t xml:space="preserve">Since the inter-satellite measurement has no requirement in Rel-18, if this </w:t>
      </w:r>
      <w:r w:rsidRPr="003A5D22">
        <w:rPr>
          <w:lang w:eastAsia="ja-JP"/>
        </w:rPr>
        <w:t>capabilit</w:t>
      </w:r>
      <w:r>
        <w:rPr>
          <w:lang w:eastAsia="ja-JP"/>
        </w:rPr>
        <w:t>y</w:t>
      </w:r>
      <w:r w:rsidRPr="003A5D22">
        <w:rPr>
          <w:lang w:eastAsia="ja-JP"/>
        </w:rPr>
        <w:t xml:space="preserve"> </w:t>
      </w:r>
      <w:r>
        <w:rPr>
          <w:lang w:eastAsia="ja-JP"/>
        </w:rPr>
        <w:t>is</w:t>
      </w:r>
      <w:r w:rsidRPr="003A5D22">
        <w:rPr>
          <w:lang w:eastAsia="ja-JP"/>
        </w:rPr>
        <w:t xml:space="preserve"> expanded to NTN UE in Ka band</w:t>
      </w:r>
      <w:r>
        <w:rPr>
          <w:lang w:eastAsia="ja-JP"/>
        </w:rPr>
        <w:t>, the n1 shall be assumed for Rel-18 NTN UE.</w:t>
      </w:r>
    </w:p>
    <w:p w14:paraId="582B33C9" w14:textId="50411181" w:rsidR="00AC1043" w:rsidRDefault="00AC1043" w:rsidP="00893F0E">
      <w:pPr>
        <w:jc w:val="both"/>
        <w:rPr>
          <w:lang w:val="en-GB" w:eastAsia="x-none"/>
        </w:rPr>
      </w:pPr>
      <w:r>
        <w:rPr>
          <w:lang w:val="en-GB" w:eastAsia="x-none"/>
        </w:rPr>
        <w:t xml:space="preserve"> </w:t>
      </w:r>
    </w:p>
    <w:p w14:paraId="285D4F5D" w14:textId="4D89B051" w:rsidR="003469BE" w:rsidRDefault="00FE2C51" w:rsidP="00893F0E">
      <w:pPr>
        <w:jc w:val="both"/>
        <w:rPr>
          <w:lang w:val="en-GB" w:eastAsia="x-none"/>
        </w:rPr>
      </w:pPr>
      <w:r w:rsidRPr="00FE2C51">
        <w:rPr>
          <w:noProof/>
          <w:lang w:val="en-GB" w:eastAsia="x-none"/>
        </w:rPr>
        <w:drawing>
          <wp:inline distT="0" distB="0" distL="0" distR="0" wp14:anchorId="0848F458" wp14:editId="5F2946B0">
            <wp:extent cx="6120765" cy="1226820"/>
            <wp:effectExtent l="0" t="0" r="635" b="508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0"/>
                    <a:stretch>
                      <a:fillRect/>
                    </a:stretch>
                  </pic:blipFill>
                  <pic:spPr>
                    <a:xfrm>
                      <a:off x="0" y="0"/>
                      <a:ext cx="6120765" cy="1226820"/>
                    </a:xfrm>
                    <a:prstGeom prst="rect">
                      <a:avLst/>
                    </a:prstGeom>
                  </pic:spPr>
                </pic:pic>
              </a:graphicData>
            </a:graphic>
          </wp:inline>
        </w:drawing>
      </w:r>
    </w:p>
    <w:p w14:paraId="242216C1" w14:textId="77777777" w:rsidR="00672256" w:rsidRDefault="00672256" w:rsidP="00893F0E">
      <w:pPr>
        <w:jc w:val="both"/>
        <w:rPr>
          <w:lang w:val="en-GB" w:eastAsia="x-none"/>
        </w:rPr>
      </w:pPr>
    </w:p>
    <w:p w14:paraId="363E0039" w14:textId="36598A79" w:rsidR="00FE2C51" w:rsidRDefault="00FE2C51" w:rsidP="00893F0E">
      <w:pPr>
        <w:jc w:val="both"/>
        <w:rPr>
          <w:lang w:val="en-GB" w:eastAsia="x-none"/>
        </w:rPr>
      </w:pPr>
      <w:r w:rsidRPr="00FE2C51">
        <w:rPr>
          <w:lang w:val="en-GB" w:eastAsia="x-none"/>
        </w:rPr>
        <w:t xml:space="preserve">In </w:t>
      </w:r>
      <w:r w:rsidRPr="00FE2C51">
        <w:rPr>
          <w:i/>
          <w:iCs/>
          <w:lang w:val="en-GB" w:eastAsia="x-none"/>
        </w:rPr>
        <w:t>parallelMeasurementWithoutRestriction-r17</w:t>
      </w:r>
      <w:r w:rsidRPr="00FE2C51">
        <w:rPr>
          <w:lang w:val="en-GB" w:eastAsia="x-none"/>
        </w:rPr>
        <w:t>, it’s only for FR1 and no Rx beam related measurement collision has been considered, e.g., if the serving cell belongs to GSO satellite, no scheduling restriction is applied. However, when beam is considered, the measurement restriction may need to be re-considered in this capability design.</w:t>
      </w:r>
    </w:p>
    <w:p w14:paraId="1E137E5A" w14:textId="77777777" w:rsidR="00AC1043" w:rsidRDefault="00AC1043" w:rsidP="00893F0E">
      <w:pPr>
        <w:jc w:val="both"/>
        <w:rPr>
          <w:lang w:val="en-GB" w:eastAsia="x-none"/>
        </w:rPr>
      </w:pPr>
    </w:p>
    <w:p w14:paraId="0746E1C9" w14:textId="716B4896" w:rsidR="00AC1043" w:rsidRDefault="00AC1043" w:rsidP="00893F0E">
      <w:pPr>
        <w:jc w:val="both"/>
        <w:rPr>
          <w:lang w:eastAsia="ja-JP"/>
        </w:rPr>
      </w:pPr>
      <w:r>
        <w:rPr>
          <w:lang w:val="en-GB" w:eastAsia="x-none"/>
        </w:rPr>
        <w:t xml:space="preserve">Same as </w:t>
      </w:r>
      <w:r w:rsidRPr="003469BE">
        <w:rPr>
          <w:i/>
          <w:iCs/>
          <w:lang w:val="en-GB" w:eastAsia="x-none"/>
        </w:rPr>
        <w:t>maxNumber-NGSO-SatellitesWithinOneSMTC-r17</w:t>
      </w:r>
      <w:r w:rsidRPr="00AC1043">
        <w:rPr>
          <w:lang w:val="en-GB" w:eastAsia="x-none"/>
        </w:rPr>
        <w:t xml:space="preserve">, </w:t>
      </w:r>
      <w:r>
        <w:rPr>
          <w:lang w:val="en-GB" w:eastAsia="x-none"/>
        </w:rPr>
        <w:t xml:space="preserve">since the inter-satellite measurement has no requirement in Rel-18, if this </w:t>
      </w:r>
      <w:r w:rsidRPr="003A5D22">
        <w:rPr>
          <w:lang w:eastAsia="ja-JP"/>
        </w:rPr>
        <w:t>capabilit</w:t>
      </w:r>
      <w:r>
        <w:rPr>
          <w:lang w:eastAsia="ja-JP"/>
        </w:rPr>
        <w:t>y</w:t>
      </w:r>
      <w:r w:rsidRPr="003A5D22">
        <w:rPr>
          <w:lang w:eastAsia="ja-JP"/>
        </w:rPr>
        <w:t xml:space="preserve"> </w:t>
      </w:r>
      <w:r>
        <w:rPr>
          <w:lang w:eastAsia="ja-JP"/>
        </w:rPr>
        <w:t>is</w:t>
      </w:r>
      <w:r w:rsidRPr="003A5D22">
        <w:rPr>
          <w:lang w:eastAsia="ja-JP"/>
        </w:rPr>
        <w:t xml:space="preserve"> expanded to NTN UE in Ka band</w:t>
      </w:r>
      <w:r>
        <w:rPr>
          <w:lang w:eastAsia="ja-JP"/>
        </w:rPr>
        <w:t>, the scheduling restriction shall be always applied for Rel-18 NTN UE.</w:t>
      </w:r>
    </w:p>
    <w:p w14:paraId="5F95D5D0" w14:textId="77777777" w:rsidR="00BF5CBD" w:rsidRDefault="00BF5CBD" w:rsidP="00893F0E">
      <w:pPr>
        <w:jc w:val="both"/>
        <w:rPr>
          <w:lang w:eastAsia="ja-JP"/>
        </w:rPr>
      </w:pPr>
    </w:p>
    <w:p w14:paraId="18B78F5A" w14:textId="71EA9677" w:rsidR="00BF5CBD" w:rsidRDefault="00BF5CBD" w:rsidP="00893F0E">
      <w:pPr>
        <w:jc w:val="both"/>
        <w:rPr>
          <w:lang w:eastAsia="ja-JP"/>
        </w:rPr>
      </w:pPr>
      <w:r>
        <w:rPr>
          <w:lang w:eastAsia="ja-JP"/>
        </w:rPr>
        <w:t>Regarding other capabilities, they are defined as followings: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F5CBD" w:rsidRPr="00936461" w14:paraId="6DCC3994" w14:textId="77777777" w:rsidTr="00856FDD">
        <w:trPr>
          <w:cantSplit/>
        </w:trPr>
        <w:tc>
          <w:tcPr>
            <w:tcW w:w="6807" w:type="dxa"/>
          </w:tcPr>
          <w:p w14:paraId="1F99B057" w14:textId="77777777" w:rsidR="00BF5CBD" w:rsidRPr="00936461" w:rsidRDefault="00BF5CBD" w:rsidP="00BF5CBD">
            <w:pPr>
              <w:pStyle w:val="TAL"/>
              <w:spacing w:before="0" w:beforeAutospacing="0" w:after="0"/>
              <w:rPr>
                <w:b/>
                <w:i/>
              </w:rPr>
            </w:pPr>
            <w:r w:rsidRPr="00936461">
              <w:rPr>
                <w:b/>
                <w:i/>
              </w:rPr>
              <w:t>parallelMeasurementGap-r17</w:t>
            </w:r>
          </w:p>
          <w:p w14:paraId="660EAA4F" w14:textId="77777777" w:rsidR="00BF5CBD" w:rsidRPr="00936461" w:rsidRDefault="00BF5CBD" w:rsidP="00BF5CBD">
            <w:pPr>
              <w:keepNext/>
              <w:keepLines/>
              <w:rPr>
                <w:rFonts w:ascii="Arial" w:hAnsi="Arial"/>
                <w:b/>
                <w:i/>
                <w:sz w:val="18"/>
              </w:rPr>
            </w:pPr>
            <w:r w:rsidRPr="00936461">
              <w:rPr>
                <w:rFonts w:ascii="Arial" w:hAnsi="Arial"/>
                <w:bCs/>
                <w:iCs/>
                <w:sz w:val="18"/>
              </w:rPr>
              <w:t>Indicates whether the UE supports 2 parallel measurement gaps for NTN SSB based RRM measurements.</w:t>
            </w:r>
            <w:r w:rsidRPr="00936461">
              <w:t xml:space="preserve"> </w:t>
            </w:r>
            <w:r w:rsidRPr="00936461">
              <w:rPr>
                <w:rFonts w:ascii="Arial" w:hAnsi="Arial"/>
                <w:bCs/>
                <w:iCs/>
                <w:sz w:val="18"/>
              </w:rPr>
              <w:t xml:space="preserve">If a UE does not include this field but includes </w:t>
            </w:r>
            <w:r w:rsidRPr="00936461">
              <w:rPr>
                <w:rFonts w:ascii="Arial" w:hAnsi="Arial"/>
                <w:i/>
                <w:sz w:val="18"/>
              </w:rPr>
              <w:t>nonTerrestrialNetwork-r17</w:t>
            </w:r>
            <w:r w:rsidRPr="00936461">
              <w:rPr>
                <w:rFonts w:ascii="Arial" w:hAnsi="Arial"/>
                <w:bCs/>
                <w:iCs/>
                <w:sz w:val="18"/>
              </w:rPr>
              <w:t>, the UE supports 1 measurement gap for NTN SSB based RRM measurements.</w:t>
            </w:r>
            <w:r w:rsidRPr="00936461">
              <w:t xml:space="preserve"> </w:t>
            </w:r>
            <w:r w:rsidRPr="003F7B77">
              <w:rPr>
                <w:rFonts w:ascii="Arial" w:hAnsi="Arial"/>
                <w:bCs/>
                <w:iCs/>
                <w:sz w:val="18"/>
                <w:highlight w:val="yellow"/>
              </w:rPr>
              <w:t>If this parameter is indicated, a UE shall also support that two parallel measurement gaps with the same gap type can be associated to one frequency layer.</w:t>
            </w:r>
            <w:r w:rsidRPr="00936461">
              <w:t xml:space="preserve"> </w:t>
            </w:r>
            <w:r w:rsidRPr="00936461">
              <w:rPr>
                <w:rFonts w:ascii="Arial" w:hAnsi="Arial"/>
                <w:bCs/>
                <w:iCs/>
                <w:sz w:val="18"/>
              </w:rPr>
              <w:t xml:space="preserve">A UE supporting this feature shall also indicate the support of </w:t>
            </w:r>
            <w:r w:rsidRPr="00936461">
              <w:rPr>
                <w:rFonts w:ascii="Arial" w:hAnsi="Arial"/>
                <w:bCs/>
                <w:i/>
                <w:sz w:val="18"/>
              </w:rPr>
              <w:t>nonTerrestrialNetwork-r17</w:t>
            </w:r>
            <w:r w:rsidRPr="00936461">
              <w:rPr>
                <w:rFonts w:ascii="Arial" w:hAnsi="Arial"/>
                <w:bCs/>
                <w:iCs/>
                <w:sz w:val="18"/>
              </w:rPr>
              <w:t>.</w:t>
            </w:r>
          </w:p>
        </w:tc>
        <w:tc>
          <w:tcPr>
            <w:tcW w:w="709" w:type="dxa"/>
          </w:tcPr>
          <w:p w14:paraId="5BA87516" w14:textId="77777777" w:rsidR="00BF5CBD" w:rsidRPr="00936461" w:rsidRDefault="00BF5CBD" w:rsidP="00BF5CBD">
            <w:pPr>
              <w:pStyle w:val="TAL"/>
              <w:spacing w:before="0" w:beforeAutospacing="0" w:after="0"/>
              <w:jc w:val="center"/>
            </w:pPr>
            <w:r w:rsidRPr="00936461">
              <w:t>UE</w:t>
            </w:r>
          </w:p>
        </w:tc>
        <w:tc>
          <w:tcPr>
            <w:tcW w:w="564" w:type="dxa"/>
          </w:tcPr>
          <w:p w14:paraId="68A0A568" w14:textId="77777777" w:rsidR="00BF5CBD" w:rsidRPr="00936461" w:rsidRDefault="00BF5CBD" w:rsidP="00BF5CBD">
            <w:pPr>
              <w:pStyle w:val="TAL"/>
              <w:spacing w:before="0" w:beforeAutospacing="0" w:after="0"/>
              <w:jc w:val="center"/>
            </w:pPr>
            <w:r w:rsidRPr="00936461">
              <w:t>No</w:t>
            </w:r>
          </w:p>
        </w:tc>
        <w:tc>
          <w:tcPr>
            <w:tcW w:w="712" w:type="dxa"/>
          </w:tcPr>
          <w:p w14:paraId="75F66D81" w14:textId="77777777" w:rsidR="00BF5CBD" w:rsidRPr="00936461" w:rsidRDefault="00BF5CBD" w:rsidP="00BF5CBD">
            <w:pPr>
              <w:pStyle w:val="TAL"/>
              <w:spacing w:before="0" w:beforeAutospacing="0" w:after="0"/>
              <w:jc w:val="center"/>
            </w:pPr>
            <w:r w:rsidRPr="00936461">
              <w:rPr>
                <w:rFonts w:eastAsia="DengXian"/>
              </w:rPr>
              <w:t>FDD only</w:t>
            </w:r>
          </w:p>
        </w:tc>
        <w:tc>
          <w:tcPr>
            <w:tcW w:w="737" w:type="dxa"/>
          </w:tcPr>
          <w:p w14:paraId="09D3EF31" w14:textId="77777777" w:rsidR="00BF5CBD" w:rsidRPr="00936461" w:rsidRDefault="00BF5CBD" w:rsidP="00BF5CBD">
            <w:pPr>
              <w:pStyle w:val="TAL"/>
              <w:spacing w:before="0" w:beforeAutospacing="0" w:after="0"/>
              <w:jc w:val="center"/>
            </w:pPr>
            <w:r w:rsidRPr="00936461">
              <w:t>FR1 only</w:t>
            </w:r>
          </w:p>
          <w:p w14:paraId="228BF1E9" w14:textId="77777777" w:rsidR="00BF5CBD" w:rsidRPr="00936461" w:rsidRDefault="00BF5CBD" w:rsidP="00BF5CBD">
            <w:pPr>
              <w:pStyle w:val="TAL"/>
              <w:spacing w:before="0" w:beforeAutospacing="0" w:after="0"/>
              <w:jc w:val="center"/>
              <w:rPr>
                <w:rFonts w:eastAsia="MS Mincho"/>
              </w:rPr>
            </w:pPr>
          </w:p>
        </w:tc>
      </w:tr>
      <w:tr w:rsidR="00BF5CBD" w:rsidRPr="00936461" w14:paraId="776476DB" w14:textId="77777777" w:rsidTr="00856FDD">
        <w:trPr>
          <w:cantSplit/>
        </w:trPr>
        <w:tc>
          <w:tcPr>
            <w:tcW w:w="6807" w:type="dxa"/>
          </w:tcPr>
          <w:p w14:paraId="4EC9DCF9" w14:textId="77777777" w:rsidR="00BF5CBD" w:rsidRPr="00936461" w:rsidRDefault="00BF5CBD" w:rsidP="00BF5CBD">
            <w:pPr>
              <w:pStyle w:val="TAL"/>
              <w:spacing w:before="0" w:beforeAutospacing="0" w:after="0"/>
              <w:rPr>
                <w:b/>
                <w:i/>
              </w:rPr>
            </w:pPr>
            <w:r w:rsidRPr="00936461">
              <w:rPr>
                <w:b/>
                <w:i/>
              </w:rPr>
              <w:t>parallelSMTC-r17</w:t>
            </w:r>
          </w:p>
          <w:p w14:paraId="312F2030" w14:textId="77777777" w:rsidR="00BF5CBD" w:rsidRPr="00936461" w:rsidRDefault="00BF5CBD" w:rsidP="00BF5CBD">
            <w:pPr>
              <w:pStyle w:val="TAL"/>
              <w:spacing w:before="0" w:beforeAutospacing="0" w:after="0"/>
              <w:rPr>
                <w:b/>
                <w:i/>
              </w:rPr>
            </w:pPr>
            <w:r w:rsidRPr="003F7B77">
              <w:rPr>
                <w:bCs/>
                <w:iCs/>
                <w:highlight w:val="yellow"/>
              </w:rPr>
              <w:t>Indicates whether the UE supports NTN SSB based RRM measurements on target cells belonging to 4 SMTC-s on a single frequency carrier</w:t>
            </w:r>
            <w:r w:rsidRPr="00936461">
              <w:rPr>
                <w:bCs/>
                <w:iCs/>
              </w:rPr>
              <w:t>.</w:t>
            </w:r>
            <w:r w:rsidRPr="00936461">
              <w:t xml:space="preserve"> </w:t>
            </w:r>
            <w:r w:rsidRPr="00936461">
              <w:rPr>
                <w:bCs/>
                <w:iCs/>
              </w:rPr>
              <w:t xml:space="preserve">If a UE does not include this field but includes </w:t>
            </w:r>
            <w:r w:rsidRPr="00936461">
              <w:rPr>
                <w:i/>
              </w:rPr>
              <w:t>nonTerrestrialNetwork-r17</w:t>
            </w:r>
            <w:r w:rsidRPr="00936461">
              <w:rPr>
                <w:bCs/>
                <w:iCs/>
              </w:rPr>
              <w:t>, the UE supports NTN SSB based RRM measurements on target cells belonging to 2 SMTC-s on a single frequency carrier.</w:t>
            </w:r>
          </w:p>
        </w:tc>
        <w:tc>
          <w:tcPr>
            <w:tcW w:w="709" w:type="dxa"/>
          </w:tcPr>
          <w:p w14:paraId="77F2A235" w14:textId="77777777" w:rsidR="00BF5CBD" w:rsidRPr="00936461" w:rsidRDefault="00BF5CBD" w:rsidP="00BF5CBD">
            <w:pPr>
              <w:pStyle w:val="TAL"/>
              <w:spacing w:before="0" w:beforeAutospacing="0" w:after="0"/>
              <w:jc w:val="center"/>
            </w:pPr>
            <w:r w:rsidRPr="00936461">
              <w:t>UE</w:t>
            </w:r>
          </w:p>
        </w:tc>
        <w:tc>
          <w:tcPr>
            <w:tcW w:w="564" w:type="dxa"/>
          </w:tcPr>
          <w:p w14:paraId="3245C41D" w14:textId="77777777" w:rsidR="00BF5CBD" w:rsidRPr="00936461" w:rsidRDefault="00BF5CBD" w:rsidP="00BF5CBD">
            <w:pPr>
              <w:pStyle w:val="TAL"/>
              <w:spacing w:before="0" w:beforeAutospacing="0" w:after="0"/>
              <w:jc w:val="center"/>
            </w:pPr>
            <w:r w:rsidRPr="00936461">
              <w:t>No</w:t>
            </w:r>
          </w:p>
        </w:tc>
        <w:tc>
          <w:tcPr>
            <w:tcW w:w="712" w:type="dxa"/>
          </w:tcPr>
          <w:p w14:paraId="398165ED" w14:textId="77777777" w:rsidR="00BF5CBD" w:rsidRPr="00936461" w:rsidRDefault="00BF5CBD" w:rsidP="00BF5CBD">
            <w:pPr>
              <w:pStyle w:val="TAL"/>
              <w:spacing w:before="0" w:beforeAutospacing="0" w:after="0"/>
              <w:jc w:val="center"/>
            </w:pPr>
            <w:r w:rsidRPr="00936461">
              <w:rPr>
                <w:rFonts w:eastAsia="DengXian"/>
              </w:rPr>
              <w:t>FDD only</w:t>
            </w:r>
          </w:p>
          <w:p w14:paraId="34300353" w14:textId="77777777" w:rsidR="00BF5CBD" w:rsidRPr="00936461" w:rsidRDefault="00BF5CBD" w:rsidP="00BF5CBD">
            <w:pPr>
              <w:pStyle w:val="TAL"/>
              <w:spacing w:before="0" w:beforeAutospacing="0" w:after="0"/>
              <w:jc w:val="center"/>
              <w:rPr>
                <w:rFonts w:eastAsia="DengXian"/>
              </w:rPr>
            </w:pPr>
          </w:p>
        </w:tc>
        <w:tc>
          <w:tcPr>
            <w:tcW w:w="737" w:type="dxa"/>
          </w:tcPr>
          <w:p w14:paraId="30FC52E8" w14:textId="77777777" w:rsidR="00BF5CBD" w:rsidRPr="00936461" w:rsidRDefault="00BF5CBD" w:rsidP="00BF5CBD">
            <w:pPr>
              <w:pStyle w:val="TAL"/>
              <w:spacing w:before="0" w:beforeAutospacing="0" w:after="0"/>
              <w:jc w:val="center"/>
            </w:pPr>
            <w:r w:rsidRPr="00936461">
              <w:t>FR1 only</w:t>
            </w:r>
          </w:p>
          <w:p w14:paraId="5B055A42" w14:textId="77777777" w:rsidR="00BF5CBD" w:rsidRPr="00936461" w:rsidRDefault="00BF5CBD" w:rsidP="00BF5CBD">
            <w:pPr>
              <w:pStyle w:val="TAL"/>
              <w:spacing w:before="0" w:beforeAutospacing="0" w:after="0"/>
              <w:jc w:val="center"/>
            </w:pPr>
          </w:p>
        </w:tc>
      </w:tr>
      <w:tr w:rsidR="00F7676A" w:rsidRPr="00936461" w14:paraId="4A7A68A8" w14:textId="77777777" w:rsidTr="00856FDD">
        <w:trPr>
          <w:cantSplit/>
        </w:trPr>
        <w:tc>
          <w:tcPr>
            <w:tcW w:w="6807" w:type="dxa"/>
          </w:tcPr>
          <w:p w14:paraId="0511D59E" w14:textId="77777777" w:rsidR="00F7676A" w:rsidRPr="00936461" w:rsidRDefault="00F7676A" w:rsidP="00F7676A">
            <w:pPr>
              <w:pStyle w:val="TAL"/>
              <w:spacing w:before="0" w:beforeAutospacing="0" w:after="0"/>
              <w:rPr>
                <w:b/>
                <w:i/>
                <w:lang w:eastAsia="en-US"/>
              </w:rPr>
            </w:pPr>
            <w:r w:rsidRPr="00936461">
              <w:rPr>
                <w:b/>
                <w:i/>
              </w:rPr>
              <w:t>maxNumber-LEO-SatellitesPerCarrier-r17</w:t>
            </w:r>
          </w:p>
          <w:p w14:paraId="02C65DBA" w14:textId="183CB032" w:rsidR="00F7676A" w:rsidRPr="00936461" w:rsidRDefault="00F7676A" w:rsidP="00F7676A">
            <w:pPr>
              <w:pStyle w:val="TAL"/>
              <w:spacing w:before="0" w:beforeAutospacing="0" w:after="0"/>
              <w:rPr>
                <w:b/>
                <w:i/>
              </w:rPr>
            </w:pPr>
            <w:r w:rsidRPr="003F7B77">
              <w:rPr>
                <w:highlight w:val="yellow"/>
              </w:rPr>
              <w:t>Indicates the number of target LEO satellites the UE can monitor per carrier.</w:t>
            </w:r>
            <w:r w:rsidRPr="00936461">
              <w:t xml:space="preserve">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0F064A84" w14:textId="6BAC0B5C" w:rsidR="00F7676A" w:rsidRPr="00936461" w:rsidRDefault="00F7676A" w:rsidP="00F7676A">
            <w:pPr>
              <w:pStyle w:val="TAL"/>
              <w:spacing w:before="0" w:beforeAutospacing="0" w:after="0"/>
              <w:jc w:val="center"/>
            </w:pPr>
            <w:r w:rsidRPr="00936461">
              <w:rPr>
                <w:bCs/>
                <w:iCs/>
              </w:rPr>
              <w:t>Band</w:t>
            </w:r>
          </w:p>
        </w:tc>
        <w:tc>
          <w:tcPr>
            <w:tcW w:w="564" w:type="dxa"/>
          </w:tcPr>
          <w:p w14:paraId="7F65684B" w14:textId="423CAD5A" w:rsidR="00F7676A" w:rsidRPr="00936461" w:rsidRDefault="00F7676A" w:rsidP="00F7676A">
            <w:pPr>
              <w:pStyle w:val="TAL"/>
              <w:spacing w:before="0" w:beforeAutospacing="0" w:after="0"/>
              <w:jc w:val="center"/>
            </w:pPr>
            <w:r w:rsidRPr="00936461">
              <w:t>No</w:t>
            </w:r>
          </w:p>
        </w:tc>
        <w:tc>
          <w:tcPr>
            <w:tcW w:w="712" w:type="dxa"/>
          </w:tcPr>
          <w:p w14:paraId="705EFAE2" w14:textId="2CD322F3" w:rsidR="00F7676A" w:rsidRPr="00936461" w:rsidRDefault="00F7676A" w:rsidP="00F7676A">
            <w:pPr>
              <w:pStyle w:val="TAL"/>
              <w:spacing w:before="0" w:beforeAutospacing="0" w:after="0"/>
              <w:jc w:val="center"/>
              <w:rPr>
                <w:rFonts w:eastAsia="DengXian"/>
              </w:rPr>
            </w:pPr>
            <w:r w:rsidRPr="00936461">
              <w:t>FDD only</w:t>
            </w:r>
          </w:p>
        </w:tc>
        <w:tc>
          <w:tcPr>
            <w:tcW w:w="737" w:type="dxa"/>
          </w:tcPr>
          <w:p w14:paraId="06CB90B0" w14:textId="3AF0822B" w:rsidR="00F7676A" w:rsidRPr="00936461" w:rsidRDefault="00F7676A" w:rsidP="00F7676A">
            <w:pPr>
              <w:pStyle w:val="TAL"/>
              <w:spacing w:before="0" w:beforeAutospacing="0" w:after="0"/>
              <w:jc w:val="center"/>
            </w:pPr>
            <w:r w:rsidRPr="00936461">
              <w:t>FR1 only</w:t>
            </w:r>
          </w:p>
        </w:tc>
      </w:tr>
    </w:tbl>
    <w:p w14:paraId="034DD4A8" w14:textId="77777777" w:rsidR="00BF5CBD" w:rsidRDefault="00BF5CBD" w:rsidP="00893F0E">
      <w:pPr>
        <w:jc w:val="both"/>
      </w:pPr>
    </w:p>
    <w:p w14:paraId="22B5A482" w14:textId="0EBB8A4C" w:rsidR="00AC1043" w:rsidRDefault="003F7B77" w:rsidP="00893F0E">
      <w:pPr>
        <w:jc w:val="both"/>
      </w:pPr>
      <w:r>
        <w:rPr>
          <w:rFonts w:hint="eastAsia"/>
        </w:rPr>
        <w:t>In</w:t>
      </w:r>
      <w:r>
        <w:t xml:space="preserve"> our understanding, all these above capabilities are relevant with the parallel measurement on different satellites on a carrier. As mentioned in the moderator summary in last meeting, according to the </w:t>
      </w:r>
      <w:r w:rsidRPr="003F7B77">
        <w:t>RP-232694 approved in RAN#101, inter-satellite measurements are not assumed in Rel-18.</w:t>
      </w:r>
      <w:r>
        <w:t xml:space="preserve"> We think all these capabilities shall still be applied for FR1 and shall not be expanded to NTN UE in above 10GHz band.</w:t>
      </w:r>
    </w:p>
    <w:p w14:paraId="04D71616" w14:textId="77777777" w:rsidR="003F7B77" w:rsidRDefault="003F7B77" w:rsidP="00893F0E">
      <w:pPr>
        <w:jc w:val="both"/>
      </w:pPr>
    </w:p>
    <w:p w14:paraId="049EEE2A" w14:textId="2B5CAC4F" w:rsidR="00AC1043" w:rsidRDefault="00AC1043" w:rsidP="00893F0E">
      <w:pPr>
        <w:jc w:val="both"/>
        <w:rPr>
          <w:lang w:val="en-GB" w:eastAsia="x-none"/>
        </w:rPr>
      </w:pPr>
      <w:r>
        <w:rPr>
          <w:lang w:eastAsia="ja-JP"/>
        </w:rPr>
        <w:t>We support following alternatives to move forward.</w:t>
      </w:r>
    </w:p>
    <w:p w14:paraId="3CB48193" w14:textId="273098A7" w:rsidR="009712EF" w:rsidRDefault="00AC1043" w:rsidP="00893F0E">
      <w:pPr>
        <w:jc w:val="both"/>
        <w:rPr>
          <w:lang w:val="en-GB" w:eastAsia="x-none"/>
        </w:rPr>
      </w:pPr>
      <w:r>
        <w:rPr>
          <w:lang w:val="en-GB" w:eastAsia="x-none"/>
        </w:rPr>
        <w:t xml:space="preserve"> </w:t>
      </w:r>
    </w:p>
    <w:p w14:paraId="201744C5" w14:textId="2FE4CE24" w:rsidR="00AC1043" w:rsidRPr="003F7B77" w:rsidRDefault="009712EF" w:rsidP="00424321">
      <w:pPr>
        <w:jc w:val="both"/>
        <w:rPr>
          <w:b/>
          <w:bCs/>
          <w:i/>
          <w:iCs/>
          <w:lang w:eastAsia="ja-JP"/>
        </w:rPr>
      </w:pPr>
      <w:r w:rsidRPr="003F7B77">
        <w:rPr>
          <w:b/>
          <w:bCs/>
          <w:i/>
          <w:iCs/>
          <w:lang w:val="en-GB" w:eastAsia="x-none"/>
        </w:rPr>
        <w:t xml:space="preserve">Proposal </w:t>
      </w:r>
      <w:r w:rsidR="001073FB">
        <w:rPr>
          <w:b/>
          <w:bCs/>
          <w:i/>
          <w:iCs/>
          <w:lang w:val="en-GB" w:eastAsia="x-none"/>
        </w:rPr>
        <w:t>4</w:t>
      </w:r>
      <w:r w:rsidRPr="003F7B77">
        <w:rPr>
          <w:b/>
          <w:bCs/>
          <w:i/>
          <w:iCs/>
          <w:lang w:val="en-GB" w:eastAsia="x-none"/>
        </w:rPr>
        <w:t xml:space="preserve">: </w:t>
      </w:r>
      <w:r w:rsidR="003F7B77" w:rsidRPr="003F7B77">
        <w:rPr>
          <w:b/>
          <w:bCs/>
          <w:i/>
          <w:iCs/>
          <w:lang w:eastAsia="ja-JP"/>
        </w:rPr>
        <w:t>The following UE capabilities introduced in Rel-17 NR NTN are not applicable for NR NTN band above 10GHz:</w:t>
      </w:r>
    </w:p>
    <w:p w14:paraId="5215468D" w14:textId="77777777" w:rsidR="003F7B77" w:rsidRPr="003F7B77" w:rsidRDefault="003F7B77" w:rsidP="003F7B77">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maxNumber-NGSO-SatellitesWithinOneSMTC-r17</w:t>
      </w:r>
    </w:p>
    <w:p w14:paraId="64F4067F" w14:textId="77777777" w:rsidR="003F7B77" w:rsidRPr="003F7B77" w:rsidRDefault="003F7B77" w:rsidP="003F7B77">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parallelMeasurementWithoutRestriction-r17 are not applicable</w:t>
      </w:r>
    </w:p>
    <w:p w14:paraId="1B610B63" w14:textId="77777777" w:rsidR="003F7B77" w:rsidRPr="003F7B77" w:rsidRDefault="003F7B77" w:rsidP="003F7B77">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parallelSMTC-r17</w:t>
      </w:r>
    </w:p>
    <w:p w14:paraId="274B2141" w14:textId="77777777" w:rsidR="003F7B77" w:rsidRPr="003F7B77" w:rsidRDefault="003F7B77" w:rsidP="003F7B77">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lastRenderedPageBreak/>
        <w:t>maxNumber-LEO-SatellitesPerCarrier-r17</w:t>
      </w:r>
    </w:p>
    <w:p w14:paraId="7E033743" w14:textId="2FC595CE" w:rsidR="003F7B77" w:rsidRPr="003F7B77" w:rsidRDefault="003F7B77" w:rsidP="003F7B77">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parallelMeasurementGap-r17</w:t>
      </w:r>
    </w:p>
    <w:p w14:paraId="30ECA885" w14:textId="0209BABB" w:rsidR="003F7B77" w:rsidRDefault="003F7B77" w:rsidP="00424321">
      <w:pPr>
        <w:jc w:val="both"/>
        <w:rPr>
          <w:b/>
          <w:bCs/>
          <w:i/>
          <w:iCs/>
          <w:lang w:val="en-GB"/>
        </w:rPr>
      </w:pPr>
      <w:r>
        <w:rPr>
          <w:lang w:eastAsia="ja-JP"/>
        </w:rPr>
        <w:tab/>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7A1AF18" w14:textId="77777777" w:rsidR="008A1E57" w:rsidRDefault="008A1E57" w:rsidP="00E06DD6">
      <w:pPr>
        <w:jc w:val="both"/>
      </w:pPr>
      <w:r>
        <w:t xml:space="preserve">In this contribution we discuss the impact on RRM for the </w:t>
      </w:r>
      <w:proofErr w:type="spellStart"/>
      <w:r>
        <w:t>eNTN</w:t>
      </w:r>
      <w:proofErr w:type="spellEnd"/>
      <w:r>
        <w:t xml:space="preserve"> UE.</w:t>
      </w:r>
    </w:p>
    <w:p w14:paraId="2EB61392" w14:textId="77777777" w:rsidR="001073FB" w:rsidRDefault="001073FB" w:rsidP="00E06DD6">
      <w:pPr>
        <w:jc w:val="both"/>
      </w:pPr>
    </w:p>
    <w:p w14:paraId="72CB0625" w14:textId="77777777" w:rsidR="001073FB" w:rsidRDefault="001073FB" w:rsidP="001073FB">
      <w:pPr>
        <w:jc w:val="both"/>
        <w:rPr>
          <w:b/>
          <w:bCs/>
          <w:i/>
          <w:iCs/>
          <w:color w:val="000000"/>
        </w:rPr>
      </w:pPr>
      <w:r w:rsidRPr="002072A9">
        <w:rPr>
          <w:b/>
          <w:bCs/>
          <w:i/>
          <w:iCs/>
          <w:color w:val="000000"/>
        </w:rPr>
        <w:t>Proposal 1:</w:t>
      </w:r>
      <w:r>
        <w:rPr>
          <w:b/>
          <w:bCs/>
          <w:i/>
          <w:iCs/>
          <w:color w:val="000000"/>
        </w:rPr>
        <w:t xml:space="preserve"> In case 2, </w:t>
      </w:r>
      <w:proofErr w:type="spellStart"/>
      <w:r w:rsidRPr="002072A9">
        <w:rPr>
          <w:b/>
          <w:bCs/>
          <w:i/>
          <w:iCs/>
          <w:color w:val="000000"/>
        </w:rPr>
        <w:t>Te_NTN</w:t>
      </w:r>
      <w:proofErr w:type="spellEnd"/>
      <w:r w:rsidRPr="002072A9">
        <w:rPr>
          <w:b/>
          <w:bCs/>
          <w:i/>
          <w:iCs/>
          <w:color w:val="000000"/>
        </w:rPr>
        <w:t xml:space="preserve"> </w:t>
      </w:r>
      <w:r>
        <w:rPr>
          <w:b/>
          <w:bCs/>
          <w:i/>
          <w:iCs/>
          <w:color w:val="000000"/>
        </w:rPr>
        <w:t xml:space="preserve">requirement </w:t>
      </w:r>
      <w:r w:rsidRPr="002072A9">
        <w:rPr>
          <w:b/>
          <w:bCs/>
          <w:i/>
          <w:iCs/>
          <w:color w:val="000000"/>
        </w:rPr>
        <w:t>for UL 120kHz SCS</w:t>
      </w:r>
      <w:r>
        <w:rPr>
          <w:b/>
          <w:bCs/>
          <w:i/>
          <w:iCs/>
          <w:color w:val="000000"/>
        </w:rPr>
        <w:t xml:space="preserve"> can be 7.5Ts only if </w:t>
      </w:r>
      <w:r w:rsidRPr="002072A9">
        <w:rPr>
          <w:b/>
          <w:bCs/>
          <w:i/>
          <w:iCs/>
          <w:color w:val="000000"/>
        </w:rPr>
        <w:t>the ephemeris information can be refreshed in every 5 seconds</w:t>
      </w:r>
      <w:r>
        <w:rPr>
          <w:b/>
          <w:bCs/>
          <w:i/>
          <w:iCs/>
          <w:color w:val="000000"/>
        </w:rPr>
        <w:t>.</w:t>
      </w:r>
    </w:p>
    <w:p w14:paraId="1456B73B" w14:textId="77777777" w:rsidR="001073FB" w:rsidRDefault="001073FB" w:rsidP="001073FB">
      <w:pPr>
        <w:jc w:val="both"/>
        <w:rPr>
          <w:b/>
          <w:bCs/>
          <w:i/>
          <w:iCs/>
          <w:color w:val="000000"/>
        </w:rPr>
      </w:pPr>
    </w:p>
    <w:p w14:paraId="6388FDFD" w14:textId="77777777" w:rsidR="001073FB" w:rsidRDefault="001073FB" w:rsidP="001073FB">
      <w:pPr>
        <w:jc w:val="both"/>
        <w:rPr>
          <w:b/>
          <w:bCs/>
          <w:i/>
          <w:iCs/>
          <w:color w:val="000000"/>
        </w:rPr>
      </w:pPr>
      <w:r w:rsidRPr="002072A9">
        <w:rPr>
          <w:b/>
          <w:bCs/>
          <w:i/>
          <w:iCs/>
          <w:color w:val="000000"/>
        </w:rPr>
        <w:t xml:space="preserve">Proposal </w:t>
      </w:r>
      <w:r>
        <w:rPr>
          <w:b/>
          <w:bCs/>
          <w:i/>
          <w:iCs/>
          <w:color w:val="000000"/>
        </w:rPr>
        <w:t>2</w:t>
      </w:r>
      <w:r w:rsidRPr="002072A9">
        <w:rPr>
          <w:b/>
          <w:bCs/>
          <w:i/>
          <w:iCs/>
          <w:color w:val="000000"/>
        </w:rPr>
        <w:t>:</w:t>
      </w:r>
      <w:r>
        <w:rPr>
          <w:b/>
          <w:bCs/>
          <w:i/>
          <w:iCs/>
          <w:color w:val="000000"/>
        </w:rPr>
        <w:t xml:space="preserve"> In case 3, </w:t>
      </w:r>
      <w:proofErr w:type="spellStart"/>
      <w:r w:rsidRPr="002072A9">
        <w:rPr>
          <w:b/>
          <w:bCs/>
          <w:i/>
          <w:iCs/>
          <w:color w:val="000000"/>
        </w:rPr>
        <w:t>Te_NTN</w:t>
      </w:r>
      <w:proofErr w:type="spellEnd"/>
      <w:r w:rsidRPr="002072A9">
        <w:rPr>
          <w:b/>
          <w:bCs/>
          <w:i/>
          <w:iCs/>
          <w:color w:val="000000"/>
        </w:rPr>
        <w:t xml:space="preserve"> </w:t>
      </w:r>
      <w:r>
        <w:rPr>
          <w:b/>
          <w:bCs/>
          <w:i/>
          <w:iCs/>
          <w:color w:val="000000"/>
        </w:rPr>
        <w:t xml:space="preserve">requirement </w:t>
      </w:r>
      <w:r w:rsidRPr="002072A9">
        <w:rPr>
          <w:b/>
          <w:bCs/>
          <w:i/>
          <w:iCs/>
          <w:color w:val="000000"/>
        </w:rPr>
        <w:t>for UL 120kHz SCS</w:t>
      </w:r>
      <w:r>
        <w:rPr>
          <w:b/>
          <w:bCs/>
          <w:i/>
          <w:iCs/>
          <w:color w:val="000000"/>
        </w:rPr>
        <w:t xml:space="preserve"> can be 13Ts.</w:t>
      </w:r>
    </w:p>
    <w:p w14:paraId="741DFDE3" w14:textId="77777777" w:rsidR="001073FB" w:rsidRDefault="001073FB" w:rsidP="001073FB">
      <w:pPr>
        <w:jc w:val="both"/>
        <w:rPr>
          <w:b/>
          <w:bCs/>
          <w:i/>
          <w:iCs/>
          <w:color w:val="000000"/>
        </w:rPr>
      </w:pPr>
    </w:p>
    <w:p w14:paraId="6E7ADA64" w14:textId="77777777" w:rsidR="001073FB" w:rsidRDefault="001073FB" w:rsidP="001073FB">
      <w:pPr>
        <w:jc w:val="both"/>
        <w:rPr>
          <w:color w:val="000000"/>
        </w:rPr>
      </w:pPr>
      <w:r w:rsidRPr="002072A9">
        <w:rPr>
          <w:b/>
          <w:bCs/>
          <w:i/>
          <w:iCs/>
          <w:color w:val="000000"/>
        </w:rPr>
        <w:t xml:space="preserve">Proposal </w:t>
      </w:r>
      <w:r>
        <w:rPr>
          <w:b/>
          <w:bCs/>
          <w:i/>
          <w:iCs/>
          <w:color w:val="000000"/>
        </w:rPr>
        <w:t>3</w:t>
      </w:r>
      <w:r w:rsidRPr="002072A9">
        <w:rPr>
          <w:b/>
          <w:bCs/>
          <w:i/>
          <w:iCs/>
          <w:color w:val="000000"/>
        </w:rPr>
        <w:t>:</w:t>
      </w:r>
      <w:r>
        <w:rPr>
          <w:b/>
          <w:bCs/>
          <w:i/>
          <w:iCs/>
          <w:color w:val="000000"/>
        </w:rPr>
        <w:t xml:space="preserve"> </w:t>
      </w:r>
      <w:proofErr w:type="spellStart"/>
      <w:r w:rsidRPr="002072A9">
        <w:rPr>
          <w:b/>
          <w:bCs/>
          <w:i/>
          <w:iCs/>
          <w:color w:val="000000"/>
        </w:rPr>
        <w:t>Te_NTN</w:t>
      </w:r>
      <w:proofErr w:type="spellEnd"/>
      <w:r w:rsidRPr="002072A9">
        <w:rPr>
          <w:b/>
          <w:bCs/>
          <w:i/>
          <w:iCs/>
          <w:color w:val="000000"/>
        </w:rPr>
        <w:t xml:space="preserve"> </w:t>
      </w:r>
      <w:r>
        <w:rPr>
          <w:b/>
          <w:bCs/>
          <w:i/>
          <w:iCs/>
          <w:color w:val="000000"/>
        </w:rPr>
        <w:t xml:space="preserve">requirement </w:t>
      </w:r>
      <w:r w:rsidRPr="002072A9">
        <w:rPr>
          <w:b/>
          <w:bCs/>
          <w:i/>
          <w:iCs/>
          <w:color w:val="000000"/>
        </w:rPr>
        <w:t xml:space="preserve">for </w:t>
      </w:r>
      <w:r>
        <w:rPr>
          <w:b/>
          <w:bCs/>
          <w:i/>
          <w:iCs/>
          <w:color w:val="000000"/>
        </w:rPr>
        <w:t xml:space="preserve">NTN on above 10GHz shall not be differentiated for different channel types, i.e., </w:t>
      </w:r>
      <w:proofErr w:type="spellStart"/>
      <w:r>
        <w:rPr>
          <w:b/>
          <w:bCs/>
          <w:i/>
          <w:iCs/>
          <w:color w:val="000000"/>
        </w:rPr>
        <w:t>Te_NTN</w:t>
      </w:r>
      <w:proofErr w:type="spellEnd"/>
      <w:r>
        <w:rPr>
          <w:b/>
          <w:bCs/>
          <w:i/>
          <w:iCs/>
          <w:color w:val="000000"/>
        </w:rPr>
        <w:t xml:space="preserve"> requirement for RACH is same as other UL </w:t>
      </w:r>
      <w:proofErr w:type="gramStart"/>
      <w:r>
        <w:rPr>
          <w:b/>
          <w:bCs/>
          <w:i/>
          <w:iCs/>
          <w:color w:val="000000"/>
        </w:rPr>
        <w:t>channels’</w:t>
      </w:r>
      <w:proofErr w:type="gramEnd"/>
      <w:r>
        <w:rPr>
          <w:b/>
          <w:bCs/>
          <w:i/>
          <w:iCs/>
          <w:color w:val="000000"/>
        </w:rPr>
        <w:t>.</w:t>
      </w:r>
    </w:p>
    <w:p w14:paraId="058F88AC" w14:textId="77777777" w:rsidR="001073FB" w:rsidRDefault="001073FB" w:rsidP="001073FB">
      <w:pPr>
        <w:jc w:val="both"/>
        <w:rPr>
          <w:b/>
          <w:bCs/>
          <w:i/>
          <w:iCs/>
          <w:color w:val="000000"/>
        </w:rPr>
      </w:pPr>
    </w:p>
    <w:p w14:paraId="21BDBB23" w14:textId="77777777" w:rsidR="001073FB" w:rsidRPr="003F7B77" w:rsidRDefault="001073FB" w:rsidP="001073FB">
      <w:pPr>
        <w:jc w:val="both"/>
        <w:rPr>
          <w:b/>
          <w:bCs/>
          <w:i/>
          <w:iCs/>
          <w:lang w:eastAsia="ja-JP"/>
        </w:rPr>
      </w:pPr>
      <w:r w:rsidRPr="003F7B77">
        <w:rPr>
          <w:b/>
          <w:bCs/>
          <w:i/>
          <w:iCs/>
          <w:lang w:val="en-GB" w:eastAsia="x-none"/>
        </w:rPr>
        <w:t xml:space="preserve">Proposal </w:t>
      </w:r>
      <w:r>
        <w:rPr>
          <w:b/>
          <w:bCs/>
          <w:i/>
          <w:iCs/>
          <w:lang w:val="en-GB" w:eastAsia="x-none"/>
        </w:rPr>
        <w:t>4</w:t>
      </w:r>
      <w:r w:rsidRPr="003F7B77">
        <w:rPr>
          <w:b/>
          <w:bCs/>
          <w:i/>
          <w:iCs/>
          <w:lang w:val="en-GB" w:eastAsia="x-none"/>
        </w:rPr>
        <w:t xml:space="preserve">: </w:t>
      </w:r>
      <w:r w:rsidRPr="003F7B77">
        <w:rPr>
          <w:b/>
          <w:bCs/>
          <w:i/>
          <w:iCs/>
          <w:lang w:eastAsia="ja-JP"/>
        </w:rPr>
        <w:t>The following UE capabilities introduced in Rel-17 NR NTN are not applicable for NR NTN band above 10GHz:</w:t>
      </w:r>
    </w:p>
    <w:p w14:paraId="06C0F1C1" w14:textId="77777777" w:rsidR="001073FB" w:rsidRPr="003F7B77" w:rsidRDefault="001073FB" w:rsidP="001073FB">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maxNumber-NGSO-SatellitesWithinOneSMTC-r17</w:t>
      </w:r>
    </w:p>
    <w:p w14:paraId="330729E5" w14:textId="77777777" w:rsidR="001073FB" w:rsidRPr="003F7B77" w:rsidRDefault="001073FB" w:rsidP="001073FB">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parallelMeasurementWithoutRestriction-r17 are not applicable</w:t>
      </w:r>
    </w:p>
    <w:p w14:paraId="34DEF32F" w14:textId="77777777" w:rsidR="001073FB" w:rsidRPr="003F7B77" w:rsidRDefault="001073FB" w:rsidP="001073FB">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parallelSMTC-r17</w:t>
      </w:r>
    </w:p>
    <w:p w14:paraId="6824265E" w14:textId="77777777" w:rsidR="001073FB" w:rsidRPr="003F7B77" w:rsidRDefault="001073FB" w:rsidP="001073FB">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maxNumber-LEO-SatellitesPerCarrier-r17</w:t>
      </w:r>
    </w:p>
    <w:p w14:paraId="01CCDB52" w14:textId="5EC8EC80" w:rsidR="00BF26A7" w:rsidRPr="001073FB" w:rsidRDefault="001073FB" w:rsidP="001073FB">
      <w:pPr>
        <w:pStyle w:val="ListParagraph"/>
        <w:widowControl/>
        <w:numPr>
          <w:ilvl w:val="1"/>
          <w:numId w:val="45"/>
        </w:numPr>
        <w:spacing w:before="0" w:beforeAutospacing="0" w:after="0" w:line="240" w:lineRule="auto"/>
        <w:ind w:left="1364" w:firstLineChars="0"/>
        <w:rPr>
          <w:b/>
          <w:bCs/>
          <w:i/>
          <w:iCs/>
          <w:sz w:val="24"/>
          <w:szCs w:val="24"/>
          <w:lang w:eastAsia="ja-JP"/>
        </w:rPr>
      </w:pPr>
      <w:r w:rsidRPr="003F7B77">
        <w:rPr>
          <w:b/>
          <w:bCs/>
          <w:i/>
          <w:iCs/>
          <w:sz w:val="24"/>
          <w:szCs w:val="24"/>
          <w:lang w:eastAsia="ja-JP"/>
        </w:rPr>
        <w:t>parallelMeasurementGap-r17</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0C91915A" w14:textId="413F6400" w:rsidR="00110BFA" w:rsidRDefault="00B324AA" w:rsidP="00A74337">
      <w:r>
        <w:t xml:space="preserve">[1] </w:t>
      </w:r>
      <w:r w:rsidR="00D026DD" w:rsidRPr="00D026DD">
        <w:rPr>
          <w:rFonts w:cs="Arial"/>
        </w:rPr>
        <w:t>R4-2321362</w:t>
      </w:r>
      <w:r w:rsidR="00AD2B03">
        <w:rPr>
          <w:rFonts w:cs="Arial"/>
        </w:rPr>
        <w:t xml:space="preserve">, </w:t>
      </w:r>
      <w:r w:rsidR="00D026DD" w:rsidRPr="00D026DD">
        <w:rPr>
          <w:rFonts w:cs="Arial"/>
        </w:rPr>
        <w:t>WF on NTN RRM requirements</w:t>
      </w:r>
      <w:r w:rsidRPr="003302A0">
        <w:t xml:space="preserve">, </w:t>
      </w:r>
      <w:r w:rsidRPr="001F65D9">
        <w:t>Qualcomm</w:t>
      </w:r>
      <w:r w:rsidRPr="003302A0">
        <w:t>, RAN</w:t>
      </w:r>
      <w:r>
        <w:t>4 #10</w:t>
      </w:r>
      <w:r w:rsidR="00D026DD">
        <w:t>9</w:t>
      </w:r>
    </w:p>
    <w:p w14:paraId="41582E6F" w14:textId="4152E319" w:rsidR="00942D96" w:rsidRDefault="002072A9" w:rsidP="00AD2B03">
      <w:pPr>
        <w:sectPr w:rsidR="00942D96" w:rsidSect="008425C0">
          <w:headerReference w:type="even" r:id="rId11"/>
          <w:footnotePr>
            <w:numRestart w:val="eachSect"/>
          </w:footnotePr>
          <w:type w:val="continuous"/>
          <w:pgSz w:w="11907" w:h="16840" w:code="9"/>
          <w:pgMar w:top="1418" w:right="1134" w:bottom="1134" w:left="1134" w:header="680" w:footer="567" w:gutter="0"/>
          <w:cols w:space="720"/>
          <w:docGrid w:linePitch="272"/>
        </w:sectPr>
      </w:pPr>
      <w:r>
        <w:t xml:space="preserve">[2] </w:t>
      </w:r>
      <w:r w:rsidRPr="002072A9">
        <w:t>R1-2103059</w:t>
      </w:r>
      <w:r>
        <w:t xml:space="preserve">, </w:t>
      </w:r>
      <w:r w:rsidRPr="002072A9">
        <w:t>On UL time and frequency synchronization enhancements for NTN</w:t>
      </w:r>
      <w:r>
        <w:t>, Ericsson, RAN1 #104bis-e</w:t>
      </w:r>
    </w:p>
    <w:p w14:paraId="1A9988BC" w14:textId="63F3C45F" w:rsidR="00A753C9" w:rsidRDefault="00A753C9" w:rsidP="00A753C9"/>
    <w:sectPr w:rsidR="00A753C9" w:rsidSect="008425C0">
      <w:footnotePr>
        <w:numRestart w:val="eachSect"/>
      </w:footnotePr>
      <w:pgSz w:w="25920" w:h="17280" w:orient="landscape"/>
      <w:pgMar w:top="720" w:right="720" w:bottom="720" w:left="720"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A8B67" w14:textId="77777777" w:rsidR="008425C0" w:rsidRDefault="008425C0">
      <w:r>
        <w:separator/>
      </w:r>
    </w:p>
  </w:endnote>
  <w:endnote w:type="continuationSeparator" w:id="0">
    <w:p w14:paraId="76260165" w14:textId="77777777" w:rsidR="008425C0" w:rsidRDefault="008425C0">
      <w:r>
        <w:continuationSeparator/>
      </w:r>
    </w:p>
  </w:endnote>
  <w:endnote w:type="continuationNotice" w:id="1">
    <w:p w14:paraId="339F9F03" w14:textId="77777777" w:rsidR="008425C0" w:rsidRDefault="00842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083B" w14:textId="77777777" w:rsidR="008425C0" w:rsidRDefault="008425C0">
      <w:r>
        <w:separator/>
      </w:r>
    </w:p>
  </w:footnote>
  <w:footnote w:type="continuationSeparator" w:id="0">
    <w:p w14:paraId="43E19531" w14:textId="77777777" w:rsidR="008425C0" w:rsidRDefault="008425C0">
      <w:r>
        <w:continuationSeparator/>
      </w:r>
    </w:p>
  </w:footnote>
  <w:footnote w:type="continuationNotice" w:id="1">
    <w:p w14:paraId="713F6200" w14:textId="77777777" w:rsidR="008425C0" w:rsidRDefault="00842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7" type="#_x0000_t75" style="width:56.5pt;height:37.35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3605A57"/>
    <w:multiLevelType w:val="hybridMultilevel"/>
    <w:tmpl w:val="1A48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B832F6"/>
    <w:multiLevelType w:val="hybridMultilevel"/>
    <w:tmpl w:val="75CC749E"/>
    <w:lvl w:ilvl="0" w:tplc="6376FBBC">
      <w:start w:val="1"/>
      <w:numFmt w:val="bullet"/>
      <w:lvlText w:val="•"/>
      <w:lvlJc w:val="left"/>
      <w:pPr>
        <w:tabs>
          <w:tab w:val="num" w:pos="644"/>
        </w:tabs>
        <w:ind w:left="644" w:hanging="360"/>
      </w:pPr>
      <w:rPr>
        <w:rFonts w:ascii="Arial" w:hAnsi="Arial" w:hint="default"/>
      </w:rPr>
    </w:lvl>
    <w:lvl w:ilvl="1" w:tplc="F79A84E8">
      <w:numFmt w:val="bullet"/>
      <w:lvlText w:val="–"/>
      <w:lvlJc w:val="left"/>
      <w:pPr>
        <w:tabs>
          <w:tab w:val="num" w:pos="1364"/>
        </w:tabs>
        <w:ind w:left="1364" w:hanging="360"/>
      </w:pPr>
      <w:rPr>
        <w:rFonts w:ascii="Arial" w:hAnsi="Arial" w:hint="default"/>
      </w:rPr>
    </w:lvl>
    <w:lvl w:ilvl="2" w:tplc="45E60BC2">
      <w:numFmt w:val="bullet"/>
      <w:lvlText w:val="•"/>
      <w:lvlJc w:val="left"/>
      <w:pPr>
        <w:tabs>
          <w:tab w:val="num" w:pos="2084"/>
        </w:tabs>
        <w:ind w:left="2084" w:hanging="360"/>
      </w:pPr>
      <w:rPr>
        <w:rFonts w:ascii="Arial" w:hAnsi="Arial" w:hint="default"/>
      </w:rPr>
    </w:lvl>
    <w:lvl w:ilvl="3" w:tplc="83548D7E" w:tentative="1">
      <w:start w:val="1"/>
      <w:numFmt w:val="bullet"/>
      <w:lvlText w:val="•"/>
      <w:lvlJc w:val="left"/>
      <w:pPr>
        <w:tabs>
          <w:tab w:val="num" w:pos="2804"/>
        </w:tabs>
        <w:ind w:left="2804" w:hanging="360"/>
      </w:pPr>
      <w:rPr>
        <w:rFonts w:ascii="Arial" w:hAnsi="Arial" w:hint="default"/>
      </w:rPr>
    </w:lvl>
    <w:lvl w:ilvl="4" w:tplc="C49AF4EA" w:tentative="1">
      <w:start w:val="1"/>
      <w:numFmt w:val="bullet"/>
      <w:lvlText w:val="•"/>
      <w:lvlJc w:val="left"/>
      <w:pPr>
        <w:tabs>
          <w:tab w:val="num" w:pos="3524"/>
        </w:tabs>
        <w:ind w:left="3524" w:hanging="360"/>
      </w:pPr>
      <w:rPr>
        <w:rFonts w:ascii="Arial" w:hAnsi="Arial" w:hint="default"/>
      </w:rPr>
    </w:lvl>
    <w:lvl w:ilvl="5" w:tplc="72E8BDB2" w:tentative="1">
      <w:start w:val="1"/>
      <w:numFmt w:val="bullet"/>
      <w:lvlText w:val="•"/>
      <w:lvlJc w:val="left"/>
      <w:pPr>
        <w:tabs>
          <w:tab w:val="num" w:pos="4244"/>
        </w:tabs>
        <w:ind w:left="4244" w:hanging="360"/>
      </w:pPr>
      <w:rPr>
        <w:rFonts w:ascii="Arial" w:hAnsi="Arial" w:hint="default"/>
      </w:rPr>
    </w:lvl>
    <w:lvl w:ilvl="6" w:tplc="E06895C6" w:tentative="1">
      <w:start w:val="1"/>
      <w:numFmt w:val="bullet"/>
      <w:lvlText w:val="•"/>
      <w:lvlJc w:val="left"/>
      <w:pPr>
        <w:tabs>
          <w:tab w:val="num" w:pos="4964"/>
        </w:tabs>
        <w:ind w:left="4964" w:hanging="360"/>
      </w:pPr>
      <w:rPr>
        <w:rFonts w:ascii="Arial" w:hAnsi="Arial" w:hint="default"/>
      </w:rPr>
    </w:lvl>
    <w:lvl w:ilvl="7" w:tplc="36A0E628" w:tentative="1">
      <w:start w:val="1"/>
      <w:numFmt w:val="bullet"/>
      <w:lvlText w:val="•"/>
      <w:lvlJc w:val="left"/>
      <w:pPr>
        <w:tabs>
          <w:tab w:val="num" w:pos="5684"/>
        </w:tabs>
        <w:ind w:left="5684" w:hanging="360"/>
      </w:pPr>
      <w:rPr>
        <w:rFonts w:ascii="Arial" w:hAnsi="Arial" w:hint="default"/>
      </w:rPr>
    </w:lvl>
    <w:lvl w:ilvl="8" w:tplc="1722B224"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4B06BD1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7D77771"/>
    <w:multiLevelType w:val="hybridMultilevel"/>
    <w:tmpl w:val="FDDC79F6"/>
    <w:lvl w:ilvl="0" w:tplc="72245076">
      <w:start w:val="1"/>
      <w:numFmt w:val="bullet"/>
      <w:lvlText w:val=""/>
      <w:lvlJc w:val="left"/>
      <w:pPr>
        <w:tabs>
          <w:tab w:val="num" w:pos="720"/>
        </w:tabs>
        <w:ind w:left="720" w:hanging="360"/>
      </w:pPr>
      <w:rPr>
        <w:rFonts w:ascii="Symbol" w:hAnsi="Symbol" w:hint="default"/>
      </w:rPr>
    </w:lvl>
    <w:lvl w:ilvl="1" w:tplc="1056F740">
      <w:numFmt w:val="bullet"/>
      <w:lvlText w:val="•"/>
      <w:lvlJc w:val="left"/>
      <w:pPr>
        <w:tabs>
          <w:tab w:val="num" w:pos="1440"/>
        </w:tabs>
        <w:ind w:left="1440" w:hanging="360"/>
      </w:pPr>
      <w:rPr>
        <w:rFonts w:ascii="Arial" w:hAnsi="Arial" w:hint="default"/>
      </w:rPr>
    </w:lvl>
    <w:lvl w:ilvl="2" w:tplc="DFAE9926" w:tentative="1">
      <w:start w:val="1"/>
      <w:numFmt w:val="bullet"/>
      <w:lvlText w:val=""/>
      <w:lvlJc w:val="left"/>
      <w:pPr>
        <w:tabs>
          <w:tab w:val="num" w:pos="2160"/>
        </w:tabs>
        <w:ind w:left="2160" w:hanging="360"/>
      </w:pPr>
      <w:rPr>
        <w:rFonts w:ascii="Symbol" w:hAnsi="Symbol" w:hint="default"/>
      </w:rPr>
    </w:lvl>
    <w:lvl w:ilvl="3" w:tplc="ECD411C0" w:tentative="1">
      <w:start w:val="1"/>
      <w:numFmt w:val="bullet"/>
      <w:lvlText w:val=""/>
      <w:lvlJc w:val="left"/>
      <w:pPr>
        <w:tabs>
          <w:tab w:val="num" w:pos="2880"/>
        </w:tabs>
        <w:ind w:left="2880" w:hanging="360"/>
      </w:pPr>
      <w:rPr>
        <w:rFonts w:ascii="Symbol" w:hAnsi="Symbol" w:hint="default"/>
      </w:rPr>
    </w:lvl>
    <w:lvl w:ilvl="4" w:tplc="5FB62434" w:tentative="1">
      <w:start w:val="1"/>
      <w:numFmt w:val="bullet"/>
      <w:lvlText w:val=""/>
      <w:lvlJc w:val="left"/>
      <w:pPr>
        <w:tabs>
          <w:tab w:val="num" w:pos="3600"/>
        </w:tabs>
        <w:ind w:left="3600" w:hanging="360"/>
      </w:pPr>
      <w:rPr>
        <w:rFonts w:ascii="Symbol" w:hAnsi="Symbol" w:hint="default"/>
      </w:rPr>
    </w:lvl>
    <w:lvl w:ilvl="5" w:tplc="2F3676AC" w:tentative="1">
      <w:start w:val="1"/>
      <w:numFmt w:val="bullet"/>
      <w:lvlText w:val=""/>
      <w:lvlJc w:val="left"/>
      <w:pPr>
        <w:tabs>
          <w:tab w:val="num" w:pos="4320"/>
        </w:tabs>
        <w:ind w:left="4320" w:hanging="360"/>
      </w:pPr>
      <w:rPr>
        <w:rFonts w:ascii="Symbol" w:hAnsi="Symbol" w:hint="default"/>
      </w:rPr>
    </w:lvl>
    <w:lvl w:ilvl="6" w:tplc="21D4386E" w:tentative="1">
      <w:start w:val="1"/>
      <w:numFmt w:val="bullet"/>
      <w:lvlText w:val=""/>
      <w:lvlJc w:val="left"/>
      <w:pPr>
        <w:tabs>
          <w:tab w:val="num" w:pos="5040"/>
        </w:tabs>
        <w:ind w:left="5040" w:hanging="360"/>
      </w:pPr>
      <w:rPr>
        <w:rFonts w:ascii="Symbol" w:hAnsi="Symbol" w:hint="default"/>
      </w:rPr>
    </w:lvl>
    <w:lvl w:ilvl="7" w:tplc="489260C2" w:tentative="1">
      <w:start w:val="1"/>
      <w:numFmt w:val="bullet"/>
      <w:lvlText w:val=""/>
      <w:lvlJc w:val="left"/>
      <w:pPr>
        <w:tabs>
          <w:tab w:val="num" w:pos="5760"/>
        </w:tabs>
        <w:ind w:left="5760" w:hanging="360"/>
      </w:pPr>
      <w:rPr>
        <w:rFonts w:ascii="Symbol" w:hAnsi="Symbol" w:hint="default"/>
      </w:rPr>
    </w:lvl>
    <w:lvl w:ilvl="8" w:tplc="6F02F80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9"/>
  </w:num>
  <w:num w:numId="5" w16cid:durableId="19949176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7"/>
  </w:num>
  <w:num w:numId="8" w16cid:durableId="66853061">
    <w:abstractNumId w:val="5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44"/>
  </w:num>
  <w:num w:numId="12" w16cid:durableId="1683971953">
    <w:abstractNumId w:val="30"/>
  </w:num>
  <w:num w:numId="13" w16cid:durableId="1802336773">
    <w:abstractNumId w:val="45"/>
  </w:num>
  <w:num w:numId="14" w16cid:durableId="183179212">
    <w:abstractNumId w:val="12"/>
  </w:num>
  <w:num w:numId="15" w16cid:durableId="101072845">
    <w:abstractNumId w:val="2"/>
  </w:num>
  <w:num w:numId="16" w16cid:durableId="1671985423">
    <w:abstractNumId w:val="50"/>
  </w:num>
  <w:num w:numId="17" w16cid:durableId="527718403">
    <w:abstractNumId w:val="10"/>
  </w:num>
  <w:num w:numId="18" w16cid:durableId="336426665">
    <w:abstractNumId w:val="35"/>
  </w:num>
  <w:num w:numId="19" w16cid:durableId="314071016">
    <w:abstractNumId w:val="6"/>
  </w:num>
  <w:num w:numId="20" w16cid:durableId="254241833">
    <w:abstractNumId w:val="15"/>
  </w:num>
  <w:num w:numId="21" w16cid:durableId="2056931042">
    <w:abstractNumId w:val="29"/>
  </w:num>
  <w:num w:numId="22" w16cid:durableId="277881800">
    <w:abstractNumId w:val="33"/>
  </w:num>
  <w:num w:numId="23" w16cid:durableId="2121104171">
    <w:abstractNumId w:val="23"/>
  </w:num>
  <w:num w:numId="24" w16cid:durableId="1956054883">
    <w:abstractNumId w:val="18"/>
  </w:num>
  <w:num w:numId="25" w16cid:durableId="1143275559">
    <w:abstractNumId w:val="24"/>
  </w:num>
  <w:num w:numId="26" w16cid:durableId="337998213">
    <w:abstractNumId w:val="25"/>
  </w:num>
  <w:num w:numId="27" w16cid:durableId="753867088">
    <w:abstractNumId w:val="21"/>
  </w:num>
  <w:num w:numId="28" w16cid:durableId="1388605013">
    <w:abstractNumId w:val="19"/>
  </w:num>
  <w:num w:numId="29" w16cid:durableId="1194684424">
    <w:abstractNumId w:val="26"/>
  </w:num>
  <w:num w:numId="30" w16cid:durableId="195780968">
    <w:abstractNumId w:val="36"/>
  </w:num>
  <w:num w:numId="31" w16cid:durableId="43145658">
    <w:abstractNumId w:val="32"/>
  </w:num>
  <w:num w:numId="32" w16cid:durableId="840119956">
    <w:abstractNumId w:val="48"/>
  </w:num>
  <w:num w:numId="33" w16cid:durableId="788086887">
    <w:abstractNumId w:val="43"/>
  </w:num>
  <w:num w:numId="34" w16cid:durableId="1075589885">
    <w:abstractNumId w:val="22"/>
  </w:num>
  <w:num w:numId="35" w16cid:durableId="1071587299">
    <w:abstractNumId w:val="46"/>
  </w:num>
  <w:num w:numId="36" w16cid:durableId="1091851232">
    <w:abstractNumId w:val="41"/>
  </w:num>
  <w:num w:numId="37" w16cid:durableId="1931697551">
    <w:abstractNumId w:val="20"/>
  </w:num>
  <w:num w:numId="38" w16cid:durableId="1849905691">
    <w:abstractNumId w:val="34"/>
  </w:num>
  <w:num w:numId="39" w16cid:durableId="276916249">
    <w:abstractNumId w:val="47"/>
  </w:num>
  <w:num w:numId="40" w16cid:durableId="935945555">
    <w:abstractNumId w:val="9"/>
  </w:num>
  <w:num w:numId="41" w16cid:durableId="1093478076">
    <w:abstractNumId w:val="14"/>
  </w:num>
  <w:num w:numId="42" w16cid:durableId="1347514231">
    <w:abstractNumId w:val="51"/>
  </w:num>
  <w:num w:numId="43" w16cid:durableId="30151458">
    <w:abstractNumId w:val="0"/>
  </w:num>
  <w:num w:numId="44" w16cid:durableId="207424313">
    <w:abstractNumId w:val="37"/>
  </w:num>
  <w:num w:numId="45" w16cid:durableId="1443723114">
    <w:abstractNumId w:val="38"/>
  </w:num>
  <w:num w:numId="46" w16cid:durableId="1609892873">
    <w:abstractNumId w:val="28"/>
  </w:num>
  <w:num w:numId="47" w16cid:durableId="966543058">
    <w:abstractNumId w:val="31"/>
  </w:num>
  <w:num w:numId="48" w16cid:durableId="2035420080">
    <w:abstractNumId w:val="11"/>
  </w:num>
  <w:num w:numId="49" w16cid:durableId="1083143886">
    <w:abstractNumId w:val="40"/>
  </w:num>
  <w:num w:numId="50" w16cid:durableId="166945364">
    <w:abstractNumId w:val="4"/>
  </w:num>
  <w:num w:numId="51" w16cid:durableId="59714487">
    <w:abstractNumId w:val="16"/>
  </w:num>
  <w:num w:numId="52" w16cid:durableId="1453204654">
    <w:abstractNumId w:val="3"/>
  </w:num>
  <w:num w:numId="53" w16cid:durableId="2112234269">
    <w:abstractNumId w:val="39"/>
  </w:num>
  <w:num w:numId="54" w16cid:durableId="1452824539">
    <w:abstractNumId w:val="17"/>
  </w:num>
  <w:num w:numId="55" w16cid:durableId="1971284806">
    <w:abstractNumId w:val="13"/>
  </w:num>
  <w:num w:numId="56" w16cid:durableId="189392705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1E9"/>
    <w:rsid w:val="0002052C"/>
    <w:rsid w:val="00021743"/>
    <w:rsid w:val="00021CAE"/>
    <w:rsid w:val="00021EE3"/>
    <w:rsid w:val="00021F19"/>
    <w:rsid w:val="000224EE"/>
    <w:rsid w:val="0002357C"/>
    <w:rsid w:val="00024338"/>
    <w:rsid w:val="000243FC"/>
    <w:rsid w:val="00024952"/>
    <w:rsid w:val="00025358"/>
    <w:rsid w:val="000255E6"/>
    <w:rsid w:val="00025658"/>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D9A"/>
    <w:rsid w:val="00082E1A"/>
    <w:rsid w:val="00083DCB"/>
    <w:rsid w:val="000840C0"/>
    <w:rsid w:val="00085222"/>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2D8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4F2"/>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3FB"/>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D82"/>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801"/>
    <w:rsid w:val="001C4B85"/>
    <w:rsid w:val="001C5179"/>
    <w:rsid w:val="001C57E6"/>
    <w:rsid w:val="001C5B8F"/>
    <w:rsid w:val="001C6634"/>
    <w:rsid w:val="001C6638"/>
    <w:rsid w:val="001C79BE"/>
    <w:rsid w:val="001C7AD6"/>
    <w:rsid w:val="001D0D3C"/>
    <w:rsid w:val="001D0DC4"/>
    <w:rsid w:val="001D1853"/>
    <w:rsid w:val="001D3529"/>
    <w:rsid w:val="001D5057"/>
    <w:rsid w:val="001D5DEE"/>
    <w:rsid w:val="001D6F61"/>
    <w:rsid w:val="001D714B"/>
    <w:rsid w:val="001D796C"/>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B6"/>
    <w:rsid w:val="001F2F33"/>
    <w:rsid w:val="001F479A"/>
    <w:rsid w:val="001F59EF"/>
    <w:rsid w:val="001F63EF"/>
    <w:rsid w:val="001F65D9"/>
    <w:rsid w:val="001F715B"/>
    <w:rsid w:val="00200136"/>
    <w:rsid w:val="002018D3"/>
    <w:rsid w:val="00201E08"/>
    <w:rsid w:val="00202AD7"/>
    <w:rsid w:val="00202ADF"/>
    <w:rsid w:val="00203C24"/>
    <w:rsid w:val="00203FC0"/>
    <w:rsid w:val="00205CC9"/>
    <w:rsid w:val="00205E99"/>
    <w:rsid w:val="00206DEC"/>
    <w:rsid w:val="002072A9"/>
    <w:rsid w:val="00207BC3"/>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3581"/>
    <w:rsid w:val="002343FF"/>
    <w:rsid w:val="002346F9"/>
    <w:rsid w:val="00234CC7"/>
    <w:rsid w:val="002352A1"/>
    <w:rsid w:val="00235D67"/>
    <w:rsid w:val="00236B44"/>
    <w:rsid w:val="00236D56"/>
    <w:rsid w:val="00237CD3"/>
    <w:rsid w:val="00237FDA"/>
    <w:rsid w:val="002408BE"/>
    <w:rsid w:val="00241281"/>
    <w:rsid w:val="00241ACF"/>
    <w:rsid w:val="00242B77"/>
    <w:rsid w:val="0024363C"/>
    <w:rsid w:val="00244349"/>
    <w:rsid w:val="00245B24"/>
    <w:rsid w:val="00246B61"/>
    <w:rsid w:val="00247AF0"/>
    <w:rsid w:val="00250218"/>
    <w:rsid w:val="00250262"/>
    <w:rsid w:val="002509D0"/>
    <w:rsid w:val="00251B15"/>
    <w:rsid w:val="0025242B"/>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4CCF"/>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65A0"/>
    <w:rsid w:val="00287178"/>
    <w:rsid w:val="0028784E"/>
    <w:rsid w:val="00291C33"/>
    <w:rsid w:val="002941B3"/>
    <w:rsid w:val="002954CC"/>
    <w:rsid w:val="002954F1"/>
    <w:rsid w:val="00295F08"/>
    <w:rsid w:val="002961B9"/>
    <w:rsid w:val="00296BEB"/>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494A"/>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5F15"/>
    <w:rsid w:val="002D621A"/>
    <w:rsid w:val="002D64CA"/>
    <w:rsid w:val="002D6A82"/>
    <w:rsid w:val="002D6DED"/>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ECD"/>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33CF"/>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1D7D"/>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2F5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3FF"/>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D69"/>
    <w:rsid w:val="003C4463"/>
    <w:rsid w:val="003C4CAB"/>
    <w:rsid w:val="003C4E9F"/>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DEA"/>
    <w:rsid w:val="003D5E81"/>
    <w:rsid w:val="003D5EF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3F7B77"/>
    <w:rsid w:val="00401245"/>
    <w:rsid w:val="004013F3"/>
    <w:rsid w:val="00401418"/>
    <w:rsid w:val="004022CB"/>
    <w:rsid w:val="004023F2"/>
    <w:rsid w:val="004056CB"/>
    <w:rsid w:val="00406096"/>
    <w:rsid w:val="004073E7"/>
    <w:rsid w:val="00407B4B"/>
    <w:rsid w:val="00407D5E"/>
    <w:rsid w:val="00411C70"/>
    <w:rsid w:val="00412074"/>
    <w:rsid w:val="0041246A"/>
    <w:rsid w:val="0041291C"/>
    <w:rsid w:val="00412F8E"/>
    <w:rsid w:val="004130E6"/>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321"/>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03FC"/>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16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A05"/>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3652"/>
    <w:rsid w:val="004D38D7"/>
    <w:rsid w:val="004D4494"/>
    <w:rsid w:val="004D48B4"/>
    <w:rsid w:val="004D4B1A"/>
    <w:rsid w:val="004D4D0C"/>
    <w:rsid w:val="004D4ED2"/>
    <w:rsid w:val="004D5613"/>
    <w:rsid w:val="004D569C"/>
    <w:rsid w:val="004D63AF"/>
    <w:rsid w:val="004E04C9"/>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D7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8AA"/>
    <w:rsid w:val="005063B3"/>
    <w:rsid w:val="0050694D"/>
    <w:rsid w:val="00506B77"/>
    <w:rsid w:val="00507AA3"/>
    <w:rsid w:val="005102AE"/>
    <w:rsid w:val="005102D5"/>
    <w:rsid w:val="00510895"/>
    <w:rsid w:val="0051133A"/>
    <w:rsid w:val="0051176D"/>
    <w:rsid w:val="00512086"/>
    <w:rsid w:val="00512999"/>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5DA6"/>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6D2E"/>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281"/>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28"/>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520"/>
    <w:rsid w:val="005F1A62"/>
    <w:rsid w:val="005F2074"/>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553"/>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6"/>
    <w:rsid w:val="00672D22"/>
    <w:rsid w:val="00673261"/>
    <w:rsid w:val="00673D7E"/>
    <w:rsid w:val="00674EEF"/>
    <w:rsid w:val="0067516A"/>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4FE"/>
    <w:rsid w:val="006C6843"/>
    <w:rsid w:val="006C6FA5"/>
    <w:rsid w:val="006C7D03"/>
    <w:rsid w:val="006C7D96"/>
    <w:rsid w:val="006D0146"/>
    <w:rsid w:val="006D0182"/>
    <w:rsid w:val="006D0848"/>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485F"/>
    <w:rsid w:val="006E5442"/>
    <w:rsid w:val="006E5700"/>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B0"/>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8D7"/>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B89"/>
    <w:rsid w:val="007717DE"/>
    <w:rsid w:val="00771980"/>
    <w:rsid w:val="00771EDD"/>
    <w:rsid w:val="00772586"/>
    <w:rsid w:val="007729AF"/>
    <w:rsid w:val="00772DAA"/>
    <w:rsid w:val="00772FF5"/>
    <w:rsid w:val="00773373"/>
    <w:rsid w:val="00773A5A"/>
    <w:rsid w:val="007741C0"/>
    <w:rsid w:val="0077426D"/>
    <w:rsid w:val="00775200"/>
    <w:rsid w:val="00775528"/>
    <w:rsid w:val="00776DC6"/>
    <w:rsid w:val="00777681"/>
    <w:rsid w:val="00777880"/>
    <w:rsid w:val="007806A8"/>
    <w:rsid w:val="00780A50"/>
    <w:rsid w:val="00780A97"/>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08"/>
    <w:rsid w:val="007B2D31"/>
    <w:rsid w:val="007B2E0F"/>
    <w:rsid w:val="007B3D65"/>
    <w:rsid w:val="007B3E2E"/>
    <w:rsid w:val="007B3EC5"/>
    <w:rsid w:val="007B4654"/>
    <w:rsid w:val="007B4666"/>
    <w:rsid w:val="007B49A9"/>
    <w:rsid w:val="007B4AAB"/>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6F2A"/>
    <w:rsid w:val="007D722C"/>
    <w:rsid w:val="007D786A"/>
    <w:rsid w:val="007D7F1F"/>
    <w:rsid w:val="007E04DF"/>
    <w:rsid w:val="007E15A9"/>
    <w:rsid w:val="007E2417"/>
    <w:rsid w:val="007E2565"/>
    <w:rsid w:val="007E32C7"/>
    <w:rsid w:val="007E44F9"/>
    <w:rsid w:val="007E460F"/>
    <w:rsid w:val="007E53EC"/>
    <w:rsid w:val="007E54F5"/>
    <w:rsid w:val="007E66BC"/>
    <w:rsid w:val="007F05A9"/>
    <w:rsid w:val="007F0B3F"/>
    <w:rsid w:val="007F0BBB"/>
    <w:rsid w:val="007F17E9"/>
    <w:rsid w:val="007F1ECB"/>
    <w:rsid w:val="007F20D2"/>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28C"/>
    <w:rsid w:val="008063FE"/>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257"/>
    <w:rsid w:val="0083398C"/>
    <w:rsid w:val="008350AC"/>
    <w:rsid w:val="00835638"/>
    <w:rsid w:val="00835C87"/>
    <w:rsid w:val="008369BC"/>
    <w:rsid w:val="00837B23"/>
    <w:rsid w:val="00840520"/>
    <w:rsid w:val="0084060F"/>
    <w:rsid w:val="00840D1D"/>
    <w:rsid w:val="00840E13"/>
    <w:rsid w:val="00840ED7"/>
    <w:rsid w:val="00841128"/>
    <w:rsid w:val="00841A87"/>
    <w:rsid w:val="00841BFD"/>
    <w:rsid w:val="008425C0"/>
    <w:rsid w:val="008430F3"/>
    <w:rsid w:val="008432A3"/>
    <w:rsid w:val="00843567"/>
    <w:rsid w:val="008439DD"/>
    <w:rsid w:val="00843E47"/>
    <w:rsid w:val="00844889"/>
    <w:rsid w:val="008448D7"/>
    <w:rsid w:val="008453CB"/>
    <w:rsid w:val="00845CC0"/>
    <w:rsid w:val="00845D84"/>
    <w:rsid w:val="00846653"/>
    <w:rsid w:val="00846721"/>
    <w:rsid w:val="00846987"/>
    <w:rsid w:val="00846E95"/>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84B"/>
    <w:rsid w:val="0087692F"/>
    <w:rsid w:val="00876EF6"/>
    <w:rsid w:val="00876F74"/>
    <w:rsid w:val="008804CD"/>
    <w:rsid w:val="008806E4"/>
    <w:rsid w:val="008809D5"/>
    <w:rsid w:val="00880DC8"/>
    <w:rsid w:val="00880E4F"/>
    <w:rsid w:val="00882774"/>
    <w:rsid w:val="00883EFD"/>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0D8F"/>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DA6"/>
    <w:rsid w:val="008B5EB2"/>
    <w:rsid w:val="008B62B5"/>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465"/>
    <w:rsid w:val="009259E6"/>
    <w:rsid w:val="00926483"/>
    <w:rsid w:val="00927186"/>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2D96"/>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2AC1"/>
    <w:rsid w:val="00952C22"/>
    <w:rsid w:val="00953972"/>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2EF"/>
    <w:rsid w:val="00971527"/>
    <w:rsid w:val="009715AD"/>
    <w:rsid w:val="0097246A"/>
    <w:rsid w:val="00972672"/>
    <w:rsid w:val="00973033"/>
    <w:rsid w:val="0097380E"/>
    <w:rsid w:val="009755AF"/>
    <w:rsid w:val="00975937"/>
    <w:rsid w:val="009768AE"/>
    <w:rsid w:val="009771E3"/>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26BE"/>
    <w:rsid w:val="009A3385"/>
    <w:rsid w:val="009A4F03"/>
    <w:rsid w:val="009A7384"/>
    <w:rsid w:val="009B027A"/>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B96"/>
    <w:rsid w:val="009D4D61"/>
    <w:rsid w:val="009D56DB"/>
    <w:rsid w:val="009D57B5"/>
    <w:rsid w:val="009D732B"/>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AEE"/>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CE9"/>
    <w:rsid w:val="00A62E16"/>
    <w:rsid w:val="00A62FBC"/>
    <w:rsid w:val="00A64C07"/>
    <w:rsid w:val="00A64E58"/>
    <w:rsid w:val="00A64E9F"/>
    <w:rsid w:val="00A672A2"/>
    <w:rsid w:val="00A672F0"/>
    <w:rsid w:val="00A673D3"/>
    <w:rsid w:val="00A7135F"/>
    <w:rsid w:val="00A71652"/>
    <w:rsid w:val="00A7168C"/>
    <w:rsid w:val="00A71CA3"/>
    <w:rsid w:val="00A71FC8"/>
    <w:rsid w:val="00A74196"/>
    <w:rsid w:val="00A74252"/>
    <w:rsid w:val="00A742CB"/>
    <w:rsid w:val="00A74337"/>
    <w:rsid w:val="00A74735"/>
    <w:rsid w:val="00A74974"/>
    <w:rsid w:val="00A7506F"/>
    <w:rsid w:val="00A753C9"/>
    <w:rsid w:val="00A76EAC"/>
    <w:rsid w:val="00A80A9D"/>
    <w:rsid w:val="00A819E1"/>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1043"/>
    <w:rsid w:val="00AC2096"/>
    <w:rsid w:val="00AC33D6"/>
    <w:rsid w:val="00AC3991"/>
    <w:rsid w:val="00AC3CFE"/>
    <w:rsid w:val="00AC49CD"/>
    <w:rsid w:val="00AC4A04"/>
    <w:rsid w:val="00AC5600"/>
    <w:rsid w:val="00AC5C52"/>
    <w:rsid w:val="00AC5CD8"/>
    <w:rsid w:val="00AC7546"/>
    <w:rsid w:val="00AC7DF8"/>
    <w:rsid w:val="00AD004E"/>
    <w:rsid w:val="00AD044C"/>
    <w:rsid w:val="00AD0869"/>
    <w:rsid w:val="00AD0898"/>
    <w:rsid w:val="00AD19DE"/>
    <w:rsid w:val="00AD1FE5"/>
    <w:rsid w:val="00AD2492"/>
    <w:rsid w:val="00AD2835"/>
    <w:rsid w:val="00AD2B03"/>
    <w:rsid w:val="00AD2E1B"/>
    <w:rsid w:val="00AD44D3"/>
    <w:rsid w:val="00AD61A8"/>
    <w:rsid w:val="00AD6452"/>
    <w:rsid w:val="00AD652A"/>
    <w:rsid w:val="00AD6E33"/>
    <w:rsid w:val="00AE0377"/>
    <w:rsid w:val="00AE0616"/>
    <w:rsid w:val="00AE1083"/>
    <w:rsid w:val="00AE1227"/>
    <w:rsid w:val="00AE1229"/>
    <w:rsid w:val="00AE20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745"/>
    <w:rsid w:val="00B00884"/>
    <w:rsid w:val="00B02280"/>
    <w:rsid w:val="00B0307A"/>
    <w:rsid w:val="00B068F8"/>
    <w:rsid w:val="00B06DCC"/>
    <w:rsid w:val="00B073CB"/>
    <w:rsid w:val="00B0774E"/>
    <w:rsid w:val="00B07F1E"/>
    <w:rsid w:val="00B106AA"/>
    <w:rsid w:val="00B10FCB"/>
    <w:rsid w:val="00B12A56"/>
    <w:rsid w:val="00B131B8"/>
    <w:rsid w:val="00B132E1"/>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4AA"/>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7A1"/>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47C"/>
    <w:rsid w:val="00B7074B"/>
    <w:rsid w:val="00B70AD8"/>
    <w:rsid w:val="00B7162C"/>
    <w:rsid w:val="00B71AFF"/>
    <w:rsid w:val="00B71E86"/>
    <w:rsid w:val="00B724AF"/>
    <w:rsid w:val="00B7298C"/>
    <w:rsid w:val="00B72D64"/>
    <w:rsid w:val="00B731C9"/>
    <w:rsid w:val="00B73AB5"/>
    <w:rsid w:val="00B7438C"/>
    <w:rsid w:val="00B74AAA"/>
    <w:rsid w:val="00B74FC7"/>
    <w:rsid w:val="00B75B41"/>
    <w:rsid w:val="00B763F6"/>
    <w:rsid w:val="00B76D98"/>
    <w:rsid w:val="00B777FE"/>
    <w:rsid w:val="00B80F98"/>
    <w:rsid w:val="00B81AB9"/>
    <w:rsid w:val="00B82BA7"/>
    <w:rsid w:val="00B82D83"/>
    <w:rsid w:val="00B8315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5B3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93C"/>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26A7"/>
    <w:rsid w:val="00BF509F"/>
    <w:rsid w:val="00BF556F"/>
    <w:rsid w:val="00BF5CBD"/>
    <w:rsid w:val="00BF648F"/>
    <w:rsid w:val="00BF6968"/>
    <w:rsid w:val="00BF7956"/>
    <w:rsid w:val="00C0041C"/>
    <w:rsid w:val="00C0056C"/>
    <w:rsid w:val="00C01802"/>
    <w:rsid w:val="00C030D9"/>
    <w:rsid w:val="00C031BC"/>
    <w:rsid w:val="00C03518"/>
    <w:rsid w:val="00C03B82"/>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0DAF"/>
    <w:rsid w:val="00C33AAC"/>
    <w:rsid w:val="00C33CB5"/>
    <w:rsid w:val="00C33FBB"/>
    <w:rsid w:val="00C34106"/>
    <w:rsid w:val="00C34E41"/>
    <w:rsid w:val="00C3546E"/>
    <w:rsid w:val="00C35CFA"/>
    <w:rsid w:val="00C35E15"/>
    <w:rsid w:val="00C369F7"/>
    <w:rsid w:val="00C37113"/>
    <w:rsid w:val="00C40A22"/>
    <w:rsid w:val="00C4156D"/>
    <w:rsid w:val="00C41ADF"/>
    <w:rsid w:val="00C42516"/>
    <w:rsid w:val="00C42523"/>
    <w:rsid w:val="00C42638"/>
    <w:rsid w:val="00C4288D"/>
    <w:rsid w:val="00C435E9"/>
    <w:rsid w:val="00C43835"/>
    <w:rsid w:val="00C44556"/>
    <w:rsid w:val="00C4577C"/>
    <w:rsid w:val="00C4579E"/>
    <w:rsid w:val="00C45A05"/>
    <w:rsid w:val="00C46F64"/>
    <w:rsid w:val="00C471E3"/>
    <w:rsid w:val="00C475DC"/>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2C78"/>
    <w:rsid w:val="00CB3989"/>
    <w:rsid w:val="00CB486B"/>
    <w:rsid w:val="00CB4DF7"/>
    <w:rsid w:val="00CB5883"/>
    <w:rsid w:val="00CB59B6"/>
    <w:rsid w:val="00CB59D8"/>
    <w:rsid w:val="00CB5D4C"/>
    <w:rsid w:val="00CB6544"/>
    <w:rsid w:val="00CB7367"/>
    <w:rsid w:val="00CB7906"/>
    <w:rsid w:val="00CC0A82"/>
    <w:rsid w:val="00CC1194"/>
    <w:rsid w:val="00CC15C6"/>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26DD"/>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1FC4"/>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093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45"/>
    <w:rsid w:val="00DC5148"/>
    <w:rsid w:val="00DC52ED"/>
    <w:rsid w:val="00DC651E"/>
    <w:rsid w:val="00DC6855"/>
    <w:rsid w:val="00DC6E29"/>
    <w:rsid w:val="00DC716E"/>
    <w:rsid w:val="00DC75E6"/>
    <w:rsid w:val="00DD1B10"/>
    <w:rsid w:val="00DD1ED7"/>
    <w:rsid w:val="00DD33F7"/>
    <w:rsid w:val="00DD3DF9"/>
    <w:rsid w:val="00DD4105"/>
    <w:rsid w:val="00DD44A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02"/>
    <w:rsid w:val="00E02F7C"/>
    <w:rsid w:val="00E03146"/>
    <w:rsid w:val="00E03285"/>
    <w:rsid w:val="00E0370A"/>
    <w:rsid w:val="00E05055"/>
    <w:rsid w:val="00E05A88"/>
    <w:rsid w:val="00E0620D"/>
    <w:rsid w:val="00E06408"/>
    <w:rsid w:val="00E069B3"/>
    <w:rsid w:val="00E06AED"/>
    <w:rsid w:val="00E06BC5"/>
    <w:rsid w:val="00E06DD6"/>
    <w:rsid w:val="00E076E5"/>
    <w:rsid w:val="00E07CD5"/>
    <w:rsid w:val="00E106A8"/>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35F"/>
    <w:rsid w:val="00EC44D5"/>
    <w:rsid w:val="00EC4998"/>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4AFD"/>
    <w:rsid w:val="00F154C2"/>
    <w:rsid w:val="00F15962"/>
    <w:rsid w:val="00F1596E"/>
    <w:rsid w:val="00F161F8"/>
    <w:rsid w:val="00F164FB"/>
    <w:rsid w:val="00F1681C"/>
    <w:rsid w:val="00F16F02"/>
    <w:rsid w:val="00F174FA"/>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210"/>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BF2"/>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BD3"/>
    <w:rsid w:val="00F75B1A"/>
    <w:rsid w:val="00F7676A"/>
    <w:rsid w:val="00F803F5"/>
    <w:rsid w:val="00F80686"/>
    <w:rsid w:val="00F80712"/>
    <w:rsid w:val="00F8114D"/>
    <w:rsid w:val="00F83748"/>
    <w:rsid w:val="00F842F8"/>
    <w:rsid w:val="00F8461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0B1"/>
    <w:rsid w:val="00FE02C6"/>
    <w:rsid w:val="00FE089D"/>
    <w:rsid w:val="00FE1721"/>
    <w:rsid w:val="00FE18D0"/>
    <w:rsid w:val="00FE1A14"/>
    <w:rsid w:val="00FE1F4E"/>
    <w:rsid w:val="00FE2404"/>
    <w:rsid w:val="00FE257E"/>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C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46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val="0"/>
      <w:autoSpaceDE w:val="0"/>
      <w:autoSpaceDN w:val="0"/>
      <w:adjustRightInd w:val="0"/>
      <w:spacing w:before="100" w:beforeAutospacing="1" w:after="180"/>
      <w:textAlignment w:val="baseline"/>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overflowPunct w:val="0"/>
      <w:autoSpaceDE w:val="0"/>
      <w:autoSpaceDN w:val="0"/>
      <w:adjustRightInd w:val="0"/>
      <w:spacing w:before="100" w:beforeAutospacing="1" w:after="180"/>
      <w:ind w:left="454" w:hanging="454"/>
      <w:textAlignment w:val="baseline"/>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overflowPunct w:val="0"/>
      <w:autoSpaceDE w:val="0"/>
      <w:autoSpaceDN w:val="0"/>
      <w:adjustRightInd w:val="0"/>
      <w:spacing w:before="100" w:beforeAutospacing="1" w:after="180"/>
      <w:ind w:left="1135" w:hanging="851"/>
      <w:textAlignment w:val="baseline"/>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val="0"/>
      <w:autoSpaceDE w:val="0"/>
      <w:autoSpaceDN w:val="0"/>
      <w:adjustRightInd w:val="0"/>
      <w:spacing w:before="100" w:beforeAutospacing="1" w:after="180"/>
      <w:ind w:left="1702" w:hanging="1418"/>
      <w:textAlignment w:val="baseline"/>
    </w:pPr>
    <w:rPr>
      <w:lang w:eastAsia="x-none"/>
    </w:rPr>
  </w:style>
  <w:style w:type="paragraph" w:customStyle="1" w:styleId="FP">
    <w:name w:val="FP"/>
    <w:basedOn w:val="Normal"/>
    <w:rsid w:val="00995174"/>
    <w:pPr>
      <w:overflowPunct w:val="0"/>
      <w:autoSpaceDE w:val="0"/>
      <w:autoSpaceDN w:val="0"/>
      <w:adjustRightInd w:val="0"/>
      <w:spacing w:before="100" w:beforeAutospacing="1" w:after="180"/>
      <w:textAlignment w:val="baseline"/>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val="0"/>
      <w:autoSpaceDE w:val="0"/>
      <w:autoSpaceDN w:val="0"/>
      <w:adjustRightInd w:val="0"/>
      <w:spacing w:before="100" w:beforeAutospacing="1" w:after="180"/>
      <w:textAlignment w:val="baseline"/>
    </w:pPr>
    <w:rPr>
      <w:noProof/>
    </w:rPr>
  </w:style>
  <w:style w:type="paragraph" w:customStyle="1" w:styleId="TH">
    <w:name w:val="TH"/>
    <w:basedOn w:val="Normal"/>
    <w:link w:val="THChar"/>
    <w:qFormat/>
    <w:rsid w:val="00995174"/>
    <w:pPr>
      <w:keepNext/>
      <w:keepLines/>
      <w:overflowPunct w:val="0"/>
      <w:autoSpaceDE w:val="0"/>
      <w:autoSpaceDN w:val="0"/>
      <w:adjustRightInd w:val="0"/>
      <w:spacing w:before="60" w:beforeAutospacing="1" w:after="180"/>
      <w:jc w:val="center"/>
      <w:textAlignment w:val="baseline"/>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val="0"/>
      <w:autoSpaceDE w:val="0"/>
      <w:autoSpaceDN w:val="0"/>
      <w:adjustRightInd w:val="0"/>
      <w:spacing w:before="100" w:beforeAutospacing="1" w:after="180"/>
      <w:textAlignment w:val="baseline"/>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val="0"/>
      <w:autoSpaceDE w:val="0"/>
      <w:autoSpaceDN w:val="0"/>
      <w:adjustRightInd w:val="0"/>
      <w:spacing w:before="100" w:beforeAutospacing="1" w:after="180"/>
      <w:ind w:left="568" w:hanging="284"/>
      <w:textAlignment w:val="baseline"/>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0">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val="0"/>
      <w:autoSpaceDE w:val="0"/>
      <w:autoSpaceDN w:val="0"/>
      <w:adjustRightInd w:val="0"/>
      <w:spacing w:before="100" w:beforeAutospacing="1" w:after="180"/>
      <w:textAlignment w:val="baseline"/>
    </w:pPr>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val="0"/>
      <w:autoSpaceDE w:val="0"/>
      <w:autoSpaceDN w:val="0"/>
      <w:adjustRightInd w:val="0"/>
      <w:spacing w:before="100" w:beforeAutospacing="1" w:after="180"/>
      <w:textAlignment w:val="baseline"/>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val="0"/>
      <w:autoSpaceDE w:val="0"/>
      <w:autoSpaceDN w:val="0"/>
      <w:adjustRightInd w:val="0"/>
      <w:spacing w:before="100" w:beforeAutospacing="1" w:after="100" w:afterAutospacing="1"/>
      <w:textAlignment w:val="baseline"/>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val="0"/>
      <w:autoSpaceDE w:val="0"/>
      <w:autoSpaceDN w:val="0"/>
      <w:adjustRightInd w:val="0"/>
      <w:spacing w:before="100" w:beforeAutospacing="1" w:after="180"/>
      <w:textAlignment w:val="baseline"/>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val="0"/>
      <w:autoSpaceDE w:val="0"/>
      <w:autoSpaceDN w:val="0"/>
      <w:adjustRightInd w:val="0"/>
      <w:spacing w:before="360" w:beforeAutospacing="1" w:after="240"/>
      <w:textAlignment w:val="baseline"/>
    </w:pPr>
    <w:rPr>
      <w:b/>
      <w:i/>
      <w:sz w:val="26"/>
    </w:rPr>
  </w:style>
  <w:style w:type="paragraph" w:customStyle="1" w:styleId="INDENT1">
    <w:name w:val="INDENT1"/>
    <w:basedOn w:val="Normal"/>
    <w:rsid w:val="00F03224"/>
    <w:pPr>
      <w:overflowPunct w:val="0"/>
      <w:autoSpaceDE w:val="0"/>
      <w:autoSpaceDN w:val="0"/>
      <w:adjustRightInd w:val="0"/>
      <w:spacing w:before="100" w:beforeAutospacing="1" w:after="180"/>
      <w:ind w:left="851"/>
      <w:textAlignment w:val="baseline"/>
    </w:pPr>
  </w:style>
  <w:style w:type="paragraph" w:customStyle="1" w:styleId="INDENT2">
    <w:name w:val="INDENT2"/>
    <w:basedOn w:val="Normal"/>
    <w:rsid w:val="00F03224"/>
    <w:pPr>
      <w:overflowPunct w:val="0"/>
      <w:autoSpaceDE w:val="0"/>
      <w:autoSpaceDN w:val="0"/>
      <w:adjustRightInd w:val="0"/>
      <w:spacing w:before="100" w:beforeAutospacing="1" w:after="180"/>
      <w:ind w:left="1135" w:hanging="284"/>
      <w:textAlignment w:val="baseline"/>
    </w:pPr>
  </w:style>
  <w:style w:type="paragraph" w:customStyle="1" w:styleId="INDENT3">
    <w:name w:val="INDENT3"/>
    <w:basedOn w:val="Normal"/>
    <w:rsid w:val="00F03224"/>
    <w:pPr>
      <w:overflowPunct w:val="0"/>
      <w:autoSpaceDE w:val="0"/>
      <w:autoSpaceDN w:val="0"/>
      <w:adjustRightInd w:val="0"/>
      <w:spacing w:before="100" w:beforeAutospacing="1" w:after="180"/>
      <w:ind w:left="1701" w:hanging="567"/>
      <w:textAlignment w:val="baseline"/>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val="0"/>
      <w:autoSpaceDE w:val="0"/>
      <w:autoSpaceDN w:val="0"/>
      <w:adjustRightInd w:val="0"/>
      <w:spacing w:before="120" w:beforeAutospacing="1" w:after="480"/>
      <w:jc w:val="center"/>
      <w:textAlignment w:val="baseline"/>
    </w:pPr>
    <w:rPr>
      <w:b/>
    </w:rPr>
  </w:style>
  <w:style w:type="paragraph" w:customStyle="1" w:styleId="RecCCITT">
    <w:name w:val="Rec_CCITT_#"/>
    <w:basedOn w:val="Normal"/>
    <w:rsid w:val="00F03224"/>
    <w:pPr>
      <w:keepNext/>
      <w:keepLines/>
      <w:overflowPunct w:val="0"/>
      <w:autoSpaceDE w:val="0"/>
      <w:autoSpaceDN w:val="0"/>
      <w:adjustRightInd w:val="0"/>
      <w:spacing w:before="100" w:beforeAutospacing="1" w:after="180"/>
      <w:textAlignment w:val="baseline"/>
    </w:pPr>
    <w:rPr>
      <w:b/>
    </w:rPr>
  </w:style>
  <w:style w:type="paragraph" w:customStyle="1" w:styleId="enumlev2">
    <w:name w:val="enumlev2"/>
    <w:basedOn w:val="Normal"/>
    <w:rsid w:val="00F03224"/>
    <w:pPr>
      <w:tabs>
        <w:tab w:val="left" w:pos="794"/>
        <w:tab w:val="left" w:pos="1191"/>
        <w:tab w:val="left" w:pos="1588"/>
        <w:tab w:val="left" w:pos="1985"/>
      </w:tabs>
      <w:overflowPunct w:val="0"/>
      <w:autoSpaceDE w:val="0"/>
      <w:autoSpaceDN w:val="0"/>
      <w:adjustRightInd w:val="0"/>
      <w:spacing w:before="86" w:beforeAutospacing="1" w:after="180"/>
      <w:ind w:left="1588" w:hanging="397"/>
      <w:jc w:val="both"/>
      <w:textAlignment w:val="baseline"/>
    </w:pPr>
  </w:style>
  <w:style w:type="paragraph" w:customStyle="1" w:styleId="CouvRecTitle">
    <w:name w:val="Couv Rec Title"/>
    <w:basedOn w:val="Normal"/>
    <w:rsid w:val="00F03224"/>
    <w:pPr>
      <w:keepNext/>
      <w:keepLines/>
      <w:overflowPunct w:val="0"/>
      <w:autoSpaceDE w:val="0"/>
      <w:autoSpaceDN w:val="0"/>
      <w:adjustRightInd w:val="0"/>
      <w:spacing w:before="240" w:beforeAutospacing="1" w:after="180"/>
      <w:ind w:left="1418"/>
      <w:textAlignment w:val="baseline"/>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val="0"/>
      <w:autoSpaceDE w:val="0"/>
      <w:autoSpaceDN w:val="0"/>
      <w:adjustRightInd w:val="0"/>
      <w:spacing w:before="100" w:beforeAutospacing="1" w:after="180"/>
      <w:textAlignment w:val="baseline"/>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val="0"/>
      <w:autoSpaceDE w:val="0"/>
      <w:autoSpaceDN w:val="0"/>
      <w:adjustRightInd w:val="0"/>
      <w:spacing w:before="100" w:beforeAutospacing="1" w:after="180"/>
      <w:textAlignment w:val="baseline"/>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val="0"/>
      <w:autoSpaceDE w:val="0"/>
      <w:autoSpaceDN w:val="0"/>
      <w:adjustRightInd w:val="0"/>
      <w:spacing w:before="100" w:beforeAutospacing="1" w:after="180"/>
      <w:textAlignment w:val="baseline"/>
    </w:pPr>
    <w:rPr>
      <w:i/>
      <w:color w:val="0000FF"/>
    </w:rPr>
  </w:style>
  <w:style w:type="paragraph" w:styleId="CommentText">
    <w:name w:val="annotation text"/>
    <w:basedOn w:val="Normal"/>
    <w:link w:val="CommentTextChar"/>
    <w:semiHidden/>
    <w:rsid w:val="00F03224"/>
    <w:pPr>
      <w:overflowPunct w:val="0"/>
      <w:autoSpaceDE w:val="0"/>
      <w:autoSpaceDN w:val="0"/>
      <w:adjustRightInd w:val="0"/>
      <w:spacing w:before="100" w:beforeAutospacing="1" w:after="180"/>
      <w:textAlignment w:val="baseline"/>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val="0"/>
      <w:autoSpaceDE w:val="0"/>
      <w:autoSpaceDN w:val="0"/>
      <w:adjustRightInd w:val="0"/>
      <w:spacing w:before="100" w:beforeAutospacing="1" w:after="180"/>
      <w:ind w:left="720"/>
      <w:contextualSpacing/>
      <w:textAlignment w:val="baseline"/>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val="0"/>
      <w:autoSpaceDE w:val="0"/>
      <w:autoSpaceDN w:val="0"/>
      <w:adjustRightInd w:val="0"/>
      <w:spacing w:before="100" w:beforeAutospacing="1" w:after="180"/>
      <w:ind w:left="851"/>
      <w:textAlignment w:val="baseline"/>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val="0"/>
      <w:autoSpaceDE w:val="0"/>
      <w:autoSpaceDN w:val="0"/>
      <w:adjustRightInd w:val="0"/>
      <w:snapToGrid w:val="0"/>
      <w:spacing w:before="100" w:beforeAutospacing="1" w:after="180"/>
      <w:textAlignment w:val="baseline"/>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val="0"/>
      <w:autoSpaceDE w:val="0"/>
      <w:autoSpaceDN w:val="0"/>
      <w:adjustRightInd w:val="0"/>
      <w:spacing w:before="100" w:beforeAutospacing="1" w:after="180"/>
      <w:ind w:left="926"/>
      <w:textAlignment w:val="baseline"/>
    </w:pPr>
    <w:rPr>
      <w:lang w:eastAsia="en-GB"/>
    </w:rPr>
  </w:style>
  <w:style w:type="paragraph" w:styleId="ListNumber4">
    <w:name w:val="List Number 4"/>
    <w:basedOn w:val="Normal"/>
    <w:unhideWhenUsed/>
    <w:rsid w:val="00F03224"/>
    <w:pPr>
      <w:numPr>
        <w:numId w:val="2"/>
      </w:numPr>
      <w:tabs>
        <w:tab w:val="num" w:pos="1209"/>
      </w:tabs>
      <w:overflowPunct w:val="0"/>
      <w:autoSpaceDE w:val="0"/>
      <w:autoSpaceDN w:val="0"/>
      <w:adjustRightInd w:val="0"/>
      <w:spacing w:before="100" w:beforeAutospacing="1" w:after="180"/>
      <w:ind w:left="1209"/>
      <w:textAlignment w:val="baseline"/>
    </w:pPr>
    <w:rPr>
      <w:lang w:eastAsia="en-GB"/>
    </w:rPr>
  </w:style>
  <w:style w:type="paragraph" w:styleId="ListNumber5">
    <w:name w:val="List Number 5"/>
    <w:basedOn w:val="Normal"/>
    <w:unhideWhenUsed/>
    <w:rsid w:val="00F03224"/>
    <w:pPr>
      <w:tabs>
        <w:tab w:val="num" w:pos="851"/>
        <w:tab w:val="num" w:pos="1800"/>
      </w:tabs>
      <w:overflowPunct w:val="0"/>
      <w:autoSpaceDE w:val="0"/>
      <w:autoSpaceDN w:val="0"/>
      <w:adjustRightInd w:val="0"/>
      <w:spacing w:before="100" w:beforeAutospacing="1" w:after="180"/>
      <w:ind w:left="1800" w:hanging="851"/>
      <w:textAlignment w:val="baseline"/>
    </w:pPr>
    <w:rPr>
      <w:lang w:eastAsia="en-GB"/>
    </w:rPr>
  </w:style>
  <w:style w:type="paragraph" w:styleId="Title">
    <w:name w:val="Title"/>
    <w:basedOn w:val="Normal"/>
    <w:next w:val="Normal"/>
    <w:link w:val="TitleChar"/>
    <w:qFormat/>
    <w:rsid w:val="00F03224"/>
    <w:pPr>
      <w:overflowPunct w:val="0"/>
      <w:autoSpaceDE w:val="0"/>
      <w:autoSpaceDN w:val="0"/>
      <w:adjustRightInd w:val="0"/>
      <w:spacing w:before="240" w:beforeAutospacing="1" w:after="60"/>
      <w:textAlignment w:val="baseline"/>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val="0"/>
      <w:autoSpaceDE w:val="0"/>
      <w:autoSpaceDN w:val="0"/>
      <w:adjustRightInd w:val="0"/>
      <w:snapToGrid w:val="0"/>
      <w:spacing w:before="100" w:beforeAutospacing="1" w:after="180"/>
      <w:ind w:left="210"/>
      <w:jc w:val="both"/>
      <w:textAlignment w:val="baseline"/>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val="0"/>
      <w:autoSpaceDE w:val="0"/>
      <w:autoSpaceDN w:val="0"/>
      <w:adjustRightInd w:val="0"/>
      <w:spacing w:before="100" w:beforeAutospacing="1" w:after="180"/>
      <w:textAlignment w:val="baseline"/>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val="0"/>
      <w:autoSpaceDE w:val="0"/>
      <w:autoSpaceDN w:val="0"/>
      <w:adjustRightInd w:val="0"/>
      <w:spacing w:before="100" w:beforeAutospacing="1" w:after="180"/>
      <w:textAlignment w:val="baseline"/>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val="0"/>
      <w:autoSpaceDE w:val="0"/>
      <w:autoSpaceDN w:val="0"/>
      <w:adjustRightInd w:val="0"/>
      <w:spacing w:before="100" w:beforeAutospacing="1" w:after="180"/>
      <w:ind w:leftChars="100" w:left="400" w:hangingChars="100" w:hanging="200"/>
      <w:textAlignment w:val="baseline"/>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0"/>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val="0"/>
      <w:autoSpaceDE w:val="0"/>
      <w:autoSpaceDN w:val="0"/>
      <w:adjustRightInd w:val="0"/>
      <w:spacing w:before="180" w:beforeAutospacing="1" w:after="240" w:line="280" w:lineRule="atLeast"/>
      <w:jc w:val="center"/>
      <w:textAlignment w:val="baseline"/>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val="0"/>
      <w:autoSpaceDE w:val="0"/>
      <w:autoSpaceDN w:val="0"/>
      <w:adjustRightInd w:val="0"/>
      <w:spacing w:before="100" w:beforeAutospacing="1" w:after="180"/>
      <w:textAlignment w:val="baseline"/>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val="0"/>
      <w:autoSpaceDE w:val="0"/>
      <w:autoSpaceDN w:val="0"/>
      <w:adjustRightInd w:val="0"/>
      <w:spacing w:before="100" w:beforeAutospacing="1" w:after="120"/>
      <w:textAlignment w:val="baseline"/>
    </w:pPr>
    <w:rPr>
      <w:rFonts w:ascii="Arial" w:hAnsi="Arial"/>
      <w:lang w:val="fr-FR"/>
    </w:rPr>
  </w:style>
  <w:style w:type="paragraph" w:customStyle="1" w:styleId="p20">
    <w:name w:val="p20"/>
    <w:basedOn w:val="Normal"/>
    <w:rsid w:val="00F03224"/>
    <w:pPr>
      <w:overflowPunct w:val="0"/>
      <w:autoSpaceDE w:val="0"/>
      <w:autoSpaceDN w:val="0"/>
      <w:adjustRightInd w:val="0"/>
      <w:snapToGrid w:val="0"/>
      <w:spacing w:before="100" w:beforeAutospacing="1" w:after="180"/>
      <w:textAlignment w:val="baseline"/>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val="0"/>
      <w:autoSpaceDE w:val="0"/>
      <w:autoSpaceDN w:val="0"/>
      <w:adjustRightInd w:val="0"/>
      <w:spacing w:before="100" w:beforeAutospacing="1" w:after="180"/>
      <w:textAlignment w:val="baseline"/>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val="0"/>
      <w:autoSpaceDE w:val="0"/>
      <w:autoSpaceDN w:val="0"/>
      <w:adjustRightInd w:val="0"/>
      <w:spacing w:beforeLines="20" w:before="100" w:beforeAutospacing="1" w:afterLines="10" w:after="180"/>
      <w:ind w:right="284"/>
      <w:jc w:val="both"/>
      <w:textAlignment w:val="baseline"/>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val="0"/>
      <w:autoSpaceDE w:val="0"/>
      <w:autoSpaceDN w:val="0"/>
      <w:adjustRightInd w:val="0"/>
      <w:spacing w:before="240" w:beforeAutospacing="1" w:after="160" w:line="240" w:lineRule="exact"/>
      <w:textAlignment w:val="baseline"/>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val="0"/>
      <w:autoSpaceDE w:val="0"/>
      <w:autoSpaceDN w:val="0"/>
      <w:adjustRightInd w:val="0"/>
      <w:spacing w:before="100" w:beforeAutospacing="1" w:after="180"/>
      <w:textAlignment w:val="baseline"/>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val="0"/>
      <w:autoSpaceDE w:val="0"/>
      <w:autoSpaceDN w:val="0"/>
      <w:adjustRightInd w:val="0"/>
      <w:spacing w:before="100" w:beforeAutospacing="1" w:after="180"/>
      <w:textAlignment w:val="baseline"/>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1">
    <w:name w:val="b1"/>
    <w:basedOn w:val="Normal"/>
    <w:rsid w:val="00F03224"/>
    <w:pPr>
      <w:overflowPunct w:val="0"/>
      <w:autoSpaceDE w:val="0"/>
      <w:autoSpaceDN w:val="0"/>
      <w:adjustRightInd w:val="0"/>
      <w:spacing w:before="100" w:beforeAutospacing="1" w:after="100" w:afterAutospacing="1"/>
      <w:textAlignment w:val="baseline"/>
    </w:pPr>
  </w:style>
  <w:style w:type="paragraph" w:customStyle="1" w:styleId="10">
    <w:name w:val="吹き出し1"/>
    <w:basedOn w:val="Normal"/>
    <w:semiHidden/>
    <w:rsid w:val="00F03224"/>
    <w:pPr>
      <w:overflowPunct w:val="0"/>
      <w:autoSpaceDE w:val="0"/>
      <w:autoSpaceDN w:val="0"/>
      <w:adjustRightInd w:val="0"/>
      <w:spacing w:before="100" w:beforeAutospacing="1" w:after="180"/>
      <w:textAlignment w:val="baseline"/>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val="0"/>
      <w:autoSpaceDE w:val="0"/>
      <w:autoSpaceDN w:val="0"/>
      <w:adjustRightInd w:val="0"/>
      <w:spacing w:before="100" w:beforeAutospacing="1" w:after="180"/>
      <w:textAlignment w:val="baseline"/>
    </w:pPr>
    <w:rPr>
      <w:rFonts w:ascii="Tahoma" w:hAnsi="Tahoma" w:cs="Tahoma"/>
      <w:sz w:val="16"/>
      <w:szCs w:val="16"/>
    </w:rPr>
  </w:style>
  <w:style w:type="paragraph" w:customStyle="1" w:styleId="Note">
    <w:name w:val="Note"/>
    <w:basedOn w:val="B10"/>
    <w:rsid w:val="00F03224"/>
    <w:rPr>
      <w:rFonts w:ascii="CG Times (WN)" w:hAnsi="CG Times (WN)"/>
      <w:lang w:eastAsia="en-GB"/>
    </w:rPr>
  </w:style>
  <w:style w:type="paragraph" w:customStyle="1" w:styleId="tabletext0">
    <w:name w:val="table text"/>
    <w:basedOn w:val="Normal"/>
    <w:next w:val="Normal"/>
    <w:rsid w:val="00F03224"/>
    <w:pPr>
      <w:overflowPunct w:val="0"/>
      <w:autoSpaceDE w:val="0"/>
      <w:autoSpaceDN w:val="0"/>
      <w:adjustRightInd w:val="0"/>
      <w:spacing w:before="100" w:beforeAutospacing="1" w:after="180"/>
      <w:textAlignment w:val="baseline"/>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val="0"/>
      <w:autoSpaceDE w:val="0"/>
      <w:autoSpaceDN w:val="0"/>
      <w:adjustRightInd w:val="0"/>
      <w:spacing w:before="120" w:beforeAutospacing="1" w:after="120"/>
      <w:textAlignment w:val="baseline"/>
    </w:pPr>
    <w:rPr>
      <w:b/>
      <w:lang w:eastAsia="en-GB"/>
    </w:rPr>
  </w:style>
  <w:style w:type="paragraph" w:customStyle="1" w:styleId="HE">
    <w:name w:val="HE"/>
    <w:basedOn w:val="Normal"/>
    <w:rsid w:val="00F03224"/>
    <w:pPr>
      <w:overflowPunct w:val="0"/>
      <w:autoSpaceDE w:val="0"/>
      <w:autoSpaceDN w:val="0"/>
      <w:adjustRightInd w:val="0"/>
      <w:spacing w:before="100" w:beforeAutospacing="1" w:after="180"/>
      <w:textAlignment w:val="baseline"/>
    </w:pPr>
    <w:rPr>
      <w:b/>
      <w:lang w:eastAsia="en-GB"/>
    </w:rPr>
  </w:style>
  <w:style w:type="paragraph" w:customStyle="1" w:styleId="HO">
    <w:name w:val="HO"/>
    <w:basedOn w:val="Normal"/>
    <w:rsid w:val="00F03224"/>
    <w:pPr>
      <w:overflowPunct w:val="0"/>
      <w:autoSpaceDE w:val="0"/>
      <w:autoSpaceDN w:val="0"/>
      <w:adjustRightInd w:val="0"/>
      <w:spacing w:before="100" w:beforeAutospacing="1" w:after="180"/>
      <w:jc w:val="right"/>
      <w:textAlignment w:val="baseline"/>
    </w:pPr>
    <w:rPr>
      <w:b/>
      <w:lang w:eastAsia="en-GB"/>
    </w:rPr>
  </w:style>
  <w:style w:type="paragraph" w:customStyle="1" w:styleId="WP">
    <w:name w:val="WP"/>
    <w:basedOn w:val="Normal"/>
    <w:rsid w:val="00F03224"/>
    <w:pPr>
      <w:overflowPunct w:val="0"/>
      <w:autoSpaceDE w:val="0"/>
      <w:autoSpaceDN w:val="0"/>
      <w:adjustRightInd w:val="0"/>
      <w:spacing w:before="100" w:beforeAutospacing="1" w:after="180"/>
      <w:jc w:val="both"/>
      <w:textAlignment w:val="baseline"/>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val="0"/>
      <w:autoSpaceDE w:val="0"/>
      <w:autoSpaceDN w:val="0"/>
      <w:adjustRightInd w:val="0"/>
      <w:spacing w:before="100" w:beforeAutospacing="1" w:after="180"/>
      <w:textAlignment w:val="baseline"/>
    </w:pPr>
    <w:rPr>
      <w:lang w:eastAsia="en-GB"/>
    </w:rPr>
  </w:style>
  <w:style w:type="paragraph" w:customStyle="1" w:styleId="Para1">
    <w:name w:val="Para1"/>
    <w:basedOn w:val="Normal"/>
    <w:rsid w:val="00F03224"/>
    <w:pPr>
      <w:overflowPunct w:val="0"/>
      <w:autoSpaceDE w:val="0"/>
      <w:autoSpaceDN w:val="0"/>
      <w:adjustRightInd w:val="0"/>
      <w:spacing w:before="120" w:beforeAutospacing="1" w:after="120"/>
      <w:textAlignment w:val="baseline"/>
    </w:pPr>
    <w:rPr>
      <w:lang w:eastAsia="en-GB"/>
    </w:rPr>
  </w:style>
  <w:style w:type="paragraph" w:customStyle="1" w:styleId="Teststep">
    <w:name w:val="Test step"/>
    <w:basedOn w:val="Normal"/>
    <w:rsid w:val="00F03224"/>
    <w:pPr>
      <w:tabs>
        <w:tab w:val="left" w:pos="720"/>
      </w:tabs>
      <w:overflowPunct w:val="0"/>
      <w:autoSpaceDE w:val="0"/>
      <w:autoSpaceDN w:val="0"/>
      <w:adjustRightInd w:val="0"/>
      <w:spacing w:before="100" w:beforeAutospacing="1" w:after="180"/>
      <w:ind w:left="720" w:hanging="720"/>
      <w:textAlignment w:val="baseline"/>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val="0"/>
      <w:autoSpaceDE w:val="0"/>
      <w:autoSpaceDN w:val="0"/>
      <w:adjustRightInd w:val="0"/>
      <w:spacing w:before="100" w:beforeAutospacing="1" w:after="180"/>
      <w:ind w:left="400" w:hanging="400"/>
      <w:jc w:val="center"/>
      <w:textAlignment w:val="baseline"/>
    </w:pPr>
    <w:rPr>
      <w:b/>
      <w:lang w:eastAsia="en-GB"/>
    </w:rPr>
  </w:style>
  <w:style w:type="paragraph" w:customStyle="1" w:styleId="table">
    <w:name w:val="table"/>
    <w:basedOn w:val="Normal"/>
    <w:next w:val="Normal"/>
    <w:rsid w:val="00F03224"/>
    <w:pPr>
      <w:overflowPunct w:val="0"/>
      <w:autoSpaceDE w:val="0"/>
      <w:autoSpaceDN w:val="0"/>
      <w:adjustRightInd w:val="0"/>
      <w:spacing w:before="100" w:beforeAutospacing="1" w:after="180"/>
      <w:jc w:val="center"/>
      <w:textAlignment w:val="baseline"/>
    </w:pPr>
    <w:rPr>
      <w:lang w:eastAsia="en-GB"/>
    </w:rPr>
  </w:style>
  <w:style w:type="paragraph" w:customStyle="1" w:styleId="t2">
    <w:name w:val="t2"/>
    <w:basedOn w:val="Normal"/>
    <w:rsid w:val="00F03224"/>
    <w:pPr>
      <w:overflowPunct w:val="0"/>
      <w:autoSpaceDE w:val="0"/>
      <w:autoSpaceDN w:val="0"/>
      <w:adjustRightInd w:val="0"/>
      <w:spacing w:before="100" w:beforeAutospacing="1" w:after="180"/>
      <w:textAlignment w:val="baseline"/>
    </w:pPr>
    <w:rPr>
      <w:lang w:eastAsia="en-GB"/>
    </w:rPr>
  </w:style>
  <w:style w:type="paragraph" w:customStyle="1" w:styleId="CommentNokia">
    <w:name w:val="Comment Nokia"/>
    <w:basedOn w:val="Normal"/>
    <w:rsid w:val="00F03224"/>
    <w:pPr>
      <w:tabs>
        <w:tab w:val="left" w:pos="360"/>
      </w:tabs>
      <w:overflowPunct w:val="0"/>
      <w:autoSpaceDE w:val="0"/>
      <w:autoSpaceDN w:val="0"/>
      <w:adjustRightInd w:val="0"/>
      <w:spacing w:before="100" w:beforeAutospacing="1" w:after="180"/>
      <w:ind w:left="360" w:hanging="360"/>
      <w:textAlignment w:val="baseline"/>
    </w:pPr>
    <w:rPr>
      <w:sz w:val="22"/>
      <w:lang w:eastAsia="en-GB"/>
    </w:rPr>
  </w:style>
  <w:style w:type="paragraph" w:customStyle="1" w:styleId="Copyright">
    <w:name w:val="Copyright"/>
    <w:basedOn w:val="Normal"/>
    <w:rsid w:val="00F03224"/>
    <w:pPr>
      <w:overflowPunct w:val="0"/>
      <w:autoSpaceDE w:val="0"/>
      <w:autoSpaceDN w:val="0"/>
      <w:adjustRightInd w:val="0"/>
      <w:spacing w:before="100" w:beforeAutospacing="1" w:after="180"/>
      <w:jc w:val="center"/>
      <w:textAlignment w:val="baseline"/>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val="0"/>
      <w:autoSpaceDE w:val="0"/>
      <w:autoSpaceDN w:val="0"/>
      <w:adjustRightInd w:val="0"/>
      <w:spacing w:before="100" w:beforeAutospacing="1" w:after="220"/>
      <w:textAlignment w:val="baseline"/>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val="0"/>
      <w:autoSpaceDE w:val="0"/>
      <w:autoSpaceDN w:val="0"/>
      <w:adjustRightInd w:val="0"/>
      <w:spacing w:before="100" w:beforeAutospacing="1" w:after="180"/>
      <w:ind w:left="567" w:hanging="283"/>
      <w:textAlignment w:val="baseline"/>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overflowPunct w:val="0"/>
      <w:autoSpaceDE w:val="0"/>
      <w:autoSpaceDN w:val="0"/>
      <w:adjustRightInd w:val="0"/>
      <w:spacing w:before="100" w:beforeAutospacing="1" w:after="220"/>
      <w:ind w:left="1298"/>
      <w:textAlignment w:val="baseline"/>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val="0"/>
      <w:autoSpaceDE w:val="0"/>
      <w:autoSpaceDN w:val="0"/>
      <w:adjustRightInd w:val="0"/>
      <w:spacing w:before="100" w:beforeAutospacing="1" w:after="180" w:line="360" w:lineRule="auto"/>
      <w:ind w:firstLineChars="200" w:firstLine="420"/>
      <w:textAlignment w:val="baseline"/>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overflowPunct w:val="0"/>
      <w:autoSpaceDE w:val="0"/>
      <w:autoSpaceDN w:val="0"/>
      <w:adjustRightInd w:val="0"/>
      <w:spacing w:before="100" w:beforeAutospacing="1" w:after="180"/>
      <w:ind w:leftChars="2500" w:left="100"/>
      <w:textAlignment w:val="baseline"/>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val="0"/>
      <w:autoSpaceDE w:val="0"/>
      <w:autoSpaceDN w:val="0"/>
      <w:adjustRightInd w:val="0"/>
      <w:spacing w:before="100" w:beforeAutospacing="1" w:after="180"/>
      <w:textAlignment w:val="baseline"/>
    </w:pPr>
    <w:rPr>
      <w:rFonts w:ascii="SimSun" w:eastAsia="SimSun" w:hAnsi="SimSun" w:cs="SimSun"/>
    </w:rPr>
  </w:style>
  <w:style w:type="paragraph" w:customStyle="1" w:styleId="tah0">
    <w:name w:val="tah"/>
    <w:basedOn w:val="Normal"/>
    <w:uiPriority w:val="99"/>
    <w:semiHidden/>
    <w:rsid w:val="005F1A62"/>
    <w:pPr>
      <w:overflowPunct w:val="0"/>
      <w:autoSpaceDE w:val="0"/>
      <w:autoSpaceDN w:val="0"/>
      <w:adjustRightInd w:val="0"/>
      <w:spacing w:before="100" w:beforeAutospacing="1" w:after="180"/>
      <w:textAlignment w:val="baseline"/>
    </w:pPr>
    <w:rPr>
      <w:rFonts w:ascii="SimSun" w:eastAsia="SimSun" w:hAnsi="SimSun" w:cs="SimSun"/>
    </w:rPr>
  </w:style>
  <w:style w:type="paragraph" w:customStyle="1" w:styleId="tac0">
    <w:name w:val="tac"/>
    <w:basedOn w:val="Normal"/>
    <w:uiPriority w:val="99"/>
    <w:semiHidden/>
    <w:rsid w:val="005F1A62"/>
    <w:pPr>
      <w:overflowPunct w:val="0"/>
      <w:autoSpaceDE w:val="0"/>
      <w:autoSpaceDN w:val="0"/>
      <w:adjustRightInd w:val="0"/>
      <w:spacing w:before="100" w:beforeAutospacing="1" w:after="180"/>
      <w:textAlignment w:val="baseline"/>
    </w:pPr>
    <w:rPr>
      <w:rFonts w:ascii="SimSun" w:eastAsia="SimSun" w:hAnsi="SimSun" w:cs="SimSun"/>
    </w:rPr>
  </w:style>
  <w:style w:type="paragraph" w:customStyle="1" w:styleId="tan0">
    <w:name w:val="tan"/>
    <w:basedOn w:val="Normal"/>
    <w:uiPriority w:val="99"/>
    <w:semiHidden/>
    <w:rsid w:val="005F1A62"/>
    <w:pPr>
      <w:overflowPunct w:val="0"/>
      <w:autoSpaceDE w:val="0"/>
      <w:autoSpaceDN w:val="0"/>
      <w:adjustRightInd w:val="0"/>
      <w:spacing w:before="100" w:beforeAutospacing="1" w:after="180"/>
      <w:textAlignment w:val="baseline"/>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val="0"/>
      <w:autoSpaceDE w:val="0"/>
      <w:autoSpaceDN w:val="0"/>
      <w:adjustRightInd w:val="0"/>
      <w:spacing w:before="100" w:beforeAutospacing="1" w:after="180"/>
      <w:ind w:left="1622" w:hanging="363"/>
      <w:textAlignment w:val="baseline"/>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val="0"/>
      <w:autoSpaceDE w:val="0"/>
      <w:autoSpaceDN w:val="0"/>
      <w:adjustRightInd w:val="0"/>
      <w:spacing w:before="100" w:beforeAutospacing="1" w:after="180"/>
      <w:textAlignment w:val="baseline"/>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val="0"/>
      <w:autoSpaceDE w:val="0"/>
      <w:autoSpaceDN w:val="0"/>
      <w:adjustRightInd w:val="0"/>
      <w:spacing w:before="60" w:beforeAutospacing="1" w:after="180"/>
      <w:ind w:left="1800"/>
      <w:textAlignment w:val="baseline"/>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paragraph" w:customStyle="1" w:styleId="B1">
    <w:name w:val="B1+"/>
    <w:basedOn w:val="Normal"/>
    <w:rsid w:val="00351D7D"/>
    <w:pPr>
      <w:numPr>
        <w:numId w:val="54"/>
      </w:numPr>
      <w:overflowPunct w:val="0"/>
      <w:autoSpaceDE w:val="0"/>
      <w:autoSpaceDN w:val="0"/>
      <w:adjustRightInd w:val="0"/>
      <w:spacing w:after="180"/>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1924229">
      <w:bodyDiv w:val="1"/>
      <w:marLeft w:val="0"/>
      <w:marRight w:val="0"/>
      <w:marTop w:val="0"/>
      <w:marBottom w:val="0"/>
      <w:divBdr>
        <w:top w:val="none" w:sz="0" w:space="0" w:color="auto"/>
        <w:left w:val="none" w:sz="0" w:space="0" w:color="auto"/>
        <w:bottom w:val="none" w:sz="0" w:space="0" w:color="auto"/>
        <w:right w:val="none" w:sz="0" w:space="0" w:color="auto"/>
      </w:divBdr>
      <w:divsChild>
        <w:div w:id="665285246">
          <w:marLeft w:val="533"/>
          <w:marRight w:val="0"/>
          <w:marTop w:val="134"/>
          <w:marBottom w:val="0"/>
          <w:divBdr>
            <w:top w:val="none" w:sz="0" w:space="0" w:color="auto"/>
            <w:left w:val="none" w:sz="0" w:space="0" w:color="auto"/>
            <w:bottom w:val="none" w:sz="0" w:space="0" w:color="auto"/>
            <w:right w:val="none" w:sz="0" w:space="0" w:color="auto"/>
          </w:divBdr>
        </w:div>
        <w:div w:id="750781646">
          <w:marLeft w:val="1166"/>
          <w:marRight w:val="0"/>
          <w:marTop w:val="115"/>
          <w:marBottom w:val="0"/>
          <w:divBdr>
            <w:top w:val="none" w:sz="0" w:space="0" w:color="auto"/>
            <w:left w:val="none" w:sz="0" w:space="0" w:color="auto"/>
            <w:bottom w:val="none" w:sz="0" w:space="0" w:color="auto"/>
            <w:right w:val="none" w:sz="0" w:space="0" w:color="auto"/>
          </w:divBdr>
        </w:div>
        <w:div w:id="1025523953">
          <w:marLeft w:val="1166"/>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539903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0687518">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2630810">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705638">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837577">
      <w:bodyDiv w:val="1"/>
      <w:marLeft w:val="0"/>
      <w:marRight w:val="0"/>
      <w:marTop w:val="0"/>
      <w:marBottom w:val="0"/>
      <w:divBdr>
        <w:top w:val="none" w:sz="0" w:space="0" w:color="auto"/>
        <w:left w:val="none" w:sz="0" w:space="0" w:color="auto"/>
        <w:bottom w:val="none" w:sz="0" w:space="0" w:color="auto"/>
        <w:right w:val="none" w:sz="0" w:space="0" w:color="auto"/>
      </w:divBdr>
      <w:divsChild>
        <w:div w:id="1481993499">
          <w:marLeft w:val="547"/>
          <w:marRight w:val="0"/>
          <w:marTop w:val="134"/>
          <w:marBottom w:val="0"/>
          <w:divBdr>
            <w:top w:val="none" w:sz="0" w:space="0" w:color="auto"/>
            <w:left w:val="none" w:sz="0" w:space="0" w:color="auto"/>
            <w:bottom w:val="none" w:sz="0" w:space="0" w:color="auto"/>
            <w:right w:val="none" w:sz="0" w:space="0" w:color="auto"/>
          </w:divBdr>
        </w:div>
        <w:div w:id="1427262545">
          <w:marLeft w:val="1166"/>
          <w:marRight w:val="0"/>
          <w:marTop w:val="134"/>
          <w:marBottom w:val="0"/>
          <w:divBdr>
            <w:top w:val="none" w:sz="0" w:space="0" w:color="auto"/>
            <w:left w:val="none" w:sz="0" w:space="0" w:color="auto"/>
            <w:bottom w:val="none" w:sz="0" w:space="0" w:color="auto"/>
            <w:right w:val="none" w:sz="0" w:space="0" w:color="auto"/>
          </w:divBdr>
        </w:div>
        <w:div w:id="1777748256">
          <w:marLeft w:val="1800"/>
          <w:marRight w:val="0"/>
          <w:marTop w:val="115"/>
          <w:marBottom w:val="0"/>
          <w:divBdr>
            <w:top w:val="none" w:sz="0" w:space="0" w:color="auto"/>
            <w:left w:val="none" w:sz="0" w:space="0" w:color="auto"/>
            <w:bottom w:val="none" w:sz="0" w:space="0" w:color="auto"/>
            <w:right w:val="none" w:sz="0" w:space="0" w:color="auto"/>
          </w:divBdr>
        </w:div>
      </w:divsChild>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923122">
      <w:bodyDiv w:val="1"/>
      <w:marLeft w:val="0"/>
      <w:marRight w:val="0"/>
      <w:marTop w:val="0"/>
      <w:marBottom w:val="0"/>
      <w:divBdr>
        <w:top w:val="none" w:sz="0" w:space="0" w:color="auto"/>
        <w:left w:val="none" w:sz="0" w:space="0" w:color="auto"/>
        <w:bottom w:val="none" w:sz="0" w:space="0" w:color="auto"/>
        <w:right w:val="none" w:sz="0" w:space="0" w:color="auto"/>
      </w:divBdr>
    </w:div>
    <w:div w:id="162333983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7</Pages>
  <Words>1962</Words>
  <Characters>11185</Characters>
  <Application>Microsoft Office Word</Application>
  <DocSecurity>0</DocSecurity>
  <Lines>93</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5</cp:revision>
  <cp:lastPrinted>2016-08-05T18:54:00Z</cp:lastPrinted>
  <dcterms:created xsi:type="dcterms:W3CDTF">2024-02-10T01:18:00Z</dcterms:created>
  <dcterms:modified xsi:type="dcterms:W3CDTF">2024-02-19T19:14:00Z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